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color w:val="00B05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B050"/>
          <w:sz w:val="24"/>
          <w:szCs w:val="24"/>
        </w:rPr>
        <w:t>玉米和玉米油中玉米赤霉烯酮快速定量检测方案</w:t>
      </w:r>
    </w:p>
    <w:p>
      <w:pPr>
        <w:spacing w:afterLines="100"/>
        <w:jc w:val="center"/>
        <w:rPr>
          <w:rFonts w:hint="eastAsia"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  <w:t xml:space="preserve">           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--8min准确定量，国粮局权威验证</w:t>
      </w:r>
    </w:p>
    <w:p>
      <w:pPr>
        <w:pStyle w:val="12"/>
        <w:numPr>
          <w:ilvl w:val="0"/>
          <w:numId w:val="1"/>
        </w:numPr>
        <w:spacing w:line="360" w:lineRule="auto"/>
        <w:ind w:left="426" w:hanging="426" w:firstLineChars="0"/>
        <w:rPr>
          <w:rFonts w:hint="eastAsia"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玉米和玉米油中玉米赤霉烯酮ZEN污染情况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玉米赤霉烯酮（Zearalenone,ZEN）是由镰刀菌产生的一种霉菌毒素，属于二羟基苯甲酸内酯类化合物，具有雌激素活性，分子式为C18H2205，相对分子量318.4。玉米赤霉烯酮ZEN主要污染玉米、小麦、大米、棉籽等粮谷作物，可引起动物和人的雌激素过多综合征，还具有生殖毒性、免疫毒性、基因毒性及可疑致癌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2003年止，根据世界粮农组织公布已有19个国家制定了食物中玉米赤霉烯酮ZEN 限量标准，欧盟规定精炼玉米油中玉米赤霉烯酮ZEN不得超过200μg/kg。中国标准规定，玉米、小麦及其制品中玉米赤霉烯酮ZEN不得超过60μg/kg，但没有规定植物油中玉米赤霉烯酮的限量标准。但农作物特别是玉米种的玉米赤霉烯酮ZEN检出率很高，而植物油均是以这些农作物为基本原料，因此非常有必要对玉米及玉米油中的玉米赤霉烯酮ZEN进行检测与控制。</w:t>
      </w:r>
    </w:p>
    <w:p>
      <w:pPr>
        <w:spacing w:line="360" w:lineRule="auto"/>
        <w:ind w:firstLine="360" w:firstLineChars="200"/>
        <w:rPr>
          <w:rFonts w:ascii="微软雅黑" w:hAnsi="微软雅黑" w:eastAsia="微软雅黑"/>
          <w:sz w:val="18"/>
          <w:szCs w:val="18"/>
        </w:rPr>
      </w:pPr>
    </w:p>
    <w:p>
      <w:pPr>
        <w:pStyle w:val="12"/>
        <w:numPr>
          <w:ilvl w:val="0"/>
          <w:numId w:val="1"/>
        </w:numPr>
        <w:spacing w:line="360" w:lineRule="auto"/>
        <w:ind w:left="426" w:hanging="426" w:firstLineChars="0"/>
        <w:rPr>
          <w:rFonts w:hint="eastAsia"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玉米和玉米油中玉米赤霉烯酮ZEN国家残留限量标准</w:t>
      </w:r>
    </w:p>
    <w:tbl>
      <w:tblPr>
        <w:tblStyle w:val="8"/>
        <w:tblpPr w:leftFromText="180" w:rightFromText="180" w:vertAnchor="text" w:horzAnchor="margin" w:tblpY="376"/>
        <w:tblW w:w="8046" w:type="dxa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4111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vAlign w:val="center"/>
          </w:tcPr>
          <w:p>
            <w:pPr>
              <w:pStyle w:val="12"/>
              <w:spacing w:before="0" w:after="0" w:line="360" w:lineRule="auto"/>
              <w:ind w:firstLine="0" w:firstLineChars="0"/>
              <w:jc w:val="center"/>
              <w:rPr>
                <w:rFonts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</w:rPr>
              <w:t>食品类别</w:t>
            </w:r>
          </w:p>
        </w:tc>
        <w:tc>
          <w:tcPr>
            <w:tcW w:w="4111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vAlign w:val="center"/>
          </w:tcPr>
          <w:p>
            <w:pPr>
              <w:pStyle w:val="12"/>
              <w:spacing w:before="0" w:after="0" w:line="360" w:lineRule="auto"/>
              <w:ind w:firstLine="0" w:firstLineChars="0"/>
              <w:jc w:val="center"/>
              <w:rPr>
                <w:rFonts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</w:rPr>
              <w:t>限量标准（μg/kg）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935" w:type="dxa"/>
            <w:tcBorders>
              <w:top w:val="single" w:color="000000" w:themeColor="text1" w:sz="8" w:space="0"/>
              <w:left w:val="nil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pStyle w:val="12"/>
              <w:spacing w:line="360" w:lineRule="auto"/>
              <w:ind w:firstLine="0" w:firstLineChars="0"/>
              <w:jc w:val="center"/>
              <w:rPr>
                <w:rFonts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</w:rPr>
              <w:t>玉米、玉米面（渣、片）</w:t>
            </w:r>
          </w:p>
        </w:tc>
        <w:tc>
          <w:tcPr>
            <w:tcW w:w="4111" w:type="dxa"/>
            <w:tcBorders>
              <w:top w:val="single" w:color="000000" w:themeColor="text1" w:sz="8" w:space="0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pStyle w:val="12"/>
              <w:spacing w:line="360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 w:themeShade="BF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 w:themeColor="text1" w:themeShade="BF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935" w:type="dxa"/>
            <w:tcBorders>
              <w:top w:val="nil"/>
            </w:tcBorders>
            <w:vAlign w:val="center"/>
          </w:tcPr>
          <w:p>
            <w:pPr>
              <w:pStyle w:val="12"/>
              <w:spacing w:line="360" w:lineRule="auto"/>
              <w:ind w:firstLine="0" w:firstLineChars="0"/>
              <w:jc w:val="center"/>
              <w:rPr>
                <w:rFonts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</w:rPr>
              <w:t>大麦、小麦、麦片、小麦粉（面粉）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Style w:val="12"/>
              <w:spacing w:line="360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 w:themeShade="BF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 w:themeColor="text1" w:themeShade="BF"/>
                <w:sz w:val="18"/>
                <w:szCs w:val="18"/>
              </w:rPr>
              <w:t>60</w:t>
            </w:r>
          </w:p>
        </w:tc>
      </w:tr>
    </w:tbl>
    <w:p>
      <w:pPr>
        <w:spacing w:line="360" w:lineRule="auto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引自：</w:t>
      </w:r>
      <w:r>
        <w:rPr>
          <w:rFonts w:hint="eastAsia" w:ascii="微软雅黑" w:hAnsi="微软雅黑" w:eastAsia="微软雅黑"/>
          <w:sz w:val="18"/>
          <w:szCs w:val="18"/>
        </w:rPr>
        <w:t>《GB 2761-2011 食品安全国家标准 食品中真菌毒素限量》</w:t>
      </w:r>
    </w:p>
    <w:p>
      <w:pPr>
        <w:spacing w:line="360" w:lineRule="auto"/>
        <w:rPr>
          <w:rFonts w:ascii="微软雅黑" w:hAnsi="微软雅黑" w:eastAsia="微软雅黑"/>
          <w:sz w:val="18"/>
          <w:szCs w:val="18"/>
        </w:rPr>
      </w:pPr>
    </w:p>
    <w:p>
      <w:pPr>
        <w:pStyle w:val="12"/>
        <w:numPr>
          <w:ilvl w:val="0"/>
          <w:numId w:val="1"/>
        </w:numPr>
        <w:spacing w:line="360" w:lineRule="auto"/>
        <w:ind w:left="426" w:hanging="426" w:firstLineChars="0"/>
        <w:rPr>
          <w:rFonts w:hint="eastAsia"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上海飞测生物玉米和玉米油中玉米赤霉烯酮快速定量检测方案--8min快速定量</w:t>
      </w:r>
    </w:p>
    <w:p>
      <w:pPr>
        <w:spacing w:line="360" w:lineRule="auto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    上海飞测生物基于全球领先的荧光定量POCT技术平台，在国内率先推出了玉米赤霉烯酮荧光定量检测试纸条，本产品可在8min快速定量的检测出玉米和玉米油中玉米赤霉烯酮的残留含量，样品前处理简单（仅需8min），检测操作简便，采用荧光免疫定量分析仪读数，结果准确可靠且可现场打印，准确性符合HPLC法的检测结果，适用于各类玉米及玉米油加工企业及检测机构。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18"/>
          <w:szCs w:val="18"/>
        </w:rPr>
      </w:pPr>
      <w:r>
        <w:rPr>
          <w:rFonts w:ascii="微软雅黑" w:hAnsi="微软雅黑" w:eastAsia="微软雅黑"/>
          <w:b/>
          <w:sz w:val="18"/>
          <w:szCs w:val="18"/>
        </w:rPr>
        <w:drawing>
          <wp:inline distT="0" distB="0" distL="0" distR="0">
            <wp:extent cx="4491990" cy="1087120"/>
            <wp:effectExtent l="0" t="0" r="0" b="0"/>
            <wp:docPr id="1" name="图片 0" descr="说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说明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697" cy="108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00B050"/>
          <w:sz w:val="18"/>
          <w:szCs w:val="18"/>
        </w:rPr>
      </w:pPr>
    </w:p>
    <w:p>
      <w:pPr>
        <w:pStyle w:val="12"/>
        <w:numPr>
          <w:ilvl w:val="1"/>
          <w:numId w:val="2"/>
        </w:numPr>
        <w:spacing w:line="360" w:lineRule="auto"/>
        <w:ind w:left="426" w:hanging="426" w:firstLine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玉米赤霉烯酮荧光定量检测试纸条性能</w:t>
      </w:r>
    </w:p>
    <w:p>
      <w:pPr>
        <w:pStyle w:val="12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检测灵敏度：5μg/kg；</w:t>
      </w:r>
    </w:p>
    <w:p>
      <w:pPr>
        <w:pStyle w:val="12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定量线性范围：10.0μg/kg - 1000.0μg/kg；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-431800</wp:posOffset>
            </wp:positionV>
            <wp:extent cx="2191385" cy="1590040"/>
            <wp:effectExtent l="0" t="0" r="18415" b="10160"/>
            <wp:wrapSquare wrapText="bothSides"/>
            <wp:docPr id="16" name="图片 15" descr="IMG_0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IMG_0019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2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样品前处理时间：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7</w:t>
      </w:r>
      <w:r>
        <w:rPr>
          <w:rFonts w:hint="eastAsia" w:ascii="微软雅黑" w:hAnsi="微软雅黑" w:eastAsia="微软雅黑"/>
          <w:sz w:val="18"/>
          <w:szCs w:val="18"/>
        </w:rPr>
        <w:t>min；</w:t>
      </w:r>
    </w:p>
    <w:p>
      <w:pPr>
        <w:pStyle w:val="12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检测时间：8min；</w:t>
      </w:r>
    </w:p>
    <w:p>
      <w:pPr>
        <w:pStyle w:val="12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准确度：回收率为80%-125%；</w:t>
      </w:r>
    </w:p>
    <w:p>
      <w:pPr>
        <w:pStyle w:val="12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特异性：在1000μg/kg浓度水平下与其它真菌毒素无交叉反应；</w:t>
      </w:r>
    </w:p>
    <w:p>
      <w:pPr>
        <w:pStyle w:val="12"/>
        <w:spacing w:line="360" w:lineRule="auto"/>
        <w:ind w:left="426" w:firstLine="0" w:firstLineChars="0"/>
        <w:jc w:val="center"/>
        <w:rPr>
          <w:rFonts w:ascii="微软雅黑" w:hAnsi="微软雅黑" w:eastAsia="微软雅黑"/>
          <w:sz w:val="18"/>
          <w:szCs w:val="18"/>
        </w:rPr>
      </w:pPr>
    </w:p>
    <w:p>
      <w:pPr>
        <w:pStyle w:val="12"/>
        <w:numPr>
          <w:ilvl w:val="1"/>
          <w:numId w:val="2"/>
        </w:numPr>
        <w:spacing w:line="360" w:lineRule="auto"/>
        <w:ind w:left="426" w:hanging="426" w:firstLine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样品前处理过程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粉碎（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玉米</w:t>
      </w:r>
      <w:r>
        <w:rPr>
          <w:rFonts w:hint="eastAsia" w:ascii="微软雅黑" w:hAnsi="微软雅黑" w:eastAsia="微软雅黑"/>
          <w:sz w:val="18"/>
          <w:szCs w:val="18"/>
        </w:rPr>
        <w:t>样品粉碎处理，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玉米油</w:t>
      </w:r>
      <w:r>
        <w:rPr>
          <w:rFonts w:hint="eastAsia" w:ascii="微软雅黑" w:hAnsi="微软雅黑" w:eastAsia="微软雅黑"/>
          <w:sz w:val="18"/>
          <w:szCs w:val="18"/>
        </w:rPr>
        <w:t>直接称量）；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振荡提取</w:t>
      </w:r>
      <w:r>
        <w:rPr>
          <w:rFonts w:hint="eastAsia" w:ascii="微软雅黑" w:hAnsi="微软雅黑" w:eastAsia="微软雅黑"/>
          <w:sz w:val="18"/>
          <w:szCs w:val="18"/>
        </w:rPr>
        <w:t>（5min）；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离心（2min）；</w:t>
      </w:r>
    </w:p>
    <w:p>
      <w:pPr>
        <w:pStyle w:val="12"/>
        <w:numPr>
          <w:ilvl w:val="0"/>
          <w:numId w:val="0"/>
        </w:numPr>
        <w:spacing w:line="360" w:lineRule="auto"/>
        <w:ind w:leftChars="0"/>
        <w:jc w:val="center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ascii="微软雅黑" w:hAnsi="微软雅黑" w:eastAsia="微软雅黑"/>
          <w:b/>
          <w:sz w:val="18"/>
          <w:szCs w:val="18"/>
        </w:rPr>
        <w:drawing>
          <wp:inline distT="0" distB="0" distL="0" distR="0">
            <wp:extent cx="4767580" cy="1035685"/>
            <wp:effectExtent l="0" t="0" r="13970" b="12065"/>
            <wp:docPr id="13" name="图片 12" descr="样品前处理20170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样品前处理2017091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578" cy="103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00B050"/>
          <w:sz w:val="18"/>
          <w:szCs w:val="18"/>
        </w:rPr>
      </w:pPr>
    </w:p>
    <w:p>
      <w:pPr>
        <w:pStyle w:val="12"/>
        <w:numPr>
          <w:ilvl w:val="1"/>
          <w:numId w:val="2"/>
        </w:numPr>
        <w:spacing w:line="360" w:lineRule="auto"/>
        <w:ind w:left="426" w:hanging="426" w:firstLine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检测操作过程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稀释；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加样反应（8min）；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读数，打印检测报告；</w:t>
      </w:r>
    </w:p>
    <w:p>
      <w:pPr>
        <w:pStyle w:val="12"/>
        <w:spacing w:line="360" w:lineRule="auto"/>
        <w:ind w:left="426" w:firstLine="0" w:firstLineChars="0"/>
        <w:rPr>
          <w:rFonts w:ascii="微软雅黑" w:hAnsi="微软雅黑" w:eastAsia="微软雅黑"/>
          <w:b/>
          <w:sz w:val="18"/>
          <w:szCs w:val="18"/>
        </w:rPr>
      </w:pPr>
      <w:r>
        <w:rPr>
          <w:rFonts w:ascii="微软雅黑" w:hAnsi="微软雅黑" w:eastAsia="微软雅黑"/>
          <w:b/>
          <w:sz w:val="18"/>
          <w:szCs w:val="18"/>
        </w:rPr>
        <w:drawing>
          <wp:inline distT="0" distB="0" distL="0" distR="0">
            <wp:extent cx="4735830" cy="1027430"/>
            <wp:effectExtent l="0" t="0" r="7620" b="1270"/>
            <wp:docPr id="14" name="图片 13" descr="检测过程示意图20170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检测过程示意图2017091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4331" cy="102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00B050"/>
          <w:sz w:val="18"/>
          <w:szCs w:val="18"/>
        </w:rPr>
      </w:pPr>
    </w:p>
    <w:p>
      <w:pPr>
        <w:pStyle w:val="12"/>
        <w:numPr>
          <w:ilvl w:val="1"/>
          <w:numId w:val="2"/>
        </w:numPr>
        <w:spacing w:line="360" w:lineRule="auto"/>
        <w:ind w:left="426" w:hanging="426" w:firstLine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结果判读和输出</w:t>
      </w:r>
    </w:p>
    <w:p>
      <w:pPr>
        <w:spacing w:line="360" w:lineRule="auto"/>
        <w:ind w:firstLine="360" w:firstLineChars="2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采用便携式玉米赤霉烯酮检测仪进行读数，使得检测结果更加准确、客观，避免人为的误判。</w:t>
      </w:r>
    </w:p>
    <w:p>
      <w:pPr>
        <w:spacing w:line="360" w:lineRule="auto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    检测结果将呈现于荧光读数仪液晶显示屏上，同时可按打印键打印获得纸质的检测报告，另外，开通仪器的WIFI数据上传功能后，检测相关数据信息将自动上传至“食品安全溯源管理云平台”，便于溯源及质量管理。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18"/>
          <w:szCs w:val="18"/>
        </w:rPr>
      </w:pPr>
      <w:r>
        <w:rPr>
          <w:rFonts w:ascii="微软雅黑" w:hAnsi="微软雅黑" w:eastAsia="微软雅黑"/>
          <w:b/>
          <w:sz w:val="18"/>
          <w:szCs w:val="18"/>
        </w:rPr>
        <w:drawing>
          <wp:inline distT="0" distB="0" distL="0" distR="0">
            <wp:extent cx="2442210" cy="1526540"/>
            <wp:effectExtent l="0" t="0" r="15240" b="16510"/>
            <wp:docPr id="11" name="图片 10" descr="a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a111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8839" cy="153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b/>
          <w:sz w:val="18"/>
          <w:szCs w:val="18"/>
        </w:rPr>
        <w:t xml:space="preserve">           </w:t>
      </w:r>
      <w:r>
        <w:rPr>
          <w:rFonts w:ascii="微软雅黑" w:hAnsi="微软雅黑" w:eastAsia="微软雅黑"/>
          <w:b/>
          <w:sz w:val="18"/>
          <w:szCs w:val="18"/>
        </w:rPr>
        <w:drawing>
          <wp:inline distT="0" distB="0" distL="0" distR="0">
            <wp:extent cx="2056130" cy="1577975"/>
            <wp:effectExtent l="0" t="0" r="1270" b="3175"/>
            <wp:docPr id="12" name="图片 11" descr="IMG_0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0025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8857" cy="158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18"/>
          <w:szCs w:val="18"/>
        </w:rPr>
      </w:pPr>
    </w:p>
    <w:p>
      <w:pPr>
        <w:pStyle w:val="12"/>
        <w:numPr>
          <w:ilvl w:val="1"/>
          <w:numId w:val="2"/>
        </w:numPr>
        <w:spacing w:line="360" w:lineRule="auto"/>
        <w:ind w:left="426" w:hanging="426" w:firstLine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 xml:space="preserve">上海飞测生物真菌毒素系列荧光定量检测试纸条产品亮点 </w:t>
      </w:r>
    </w:p>
    <w:p>
      <w:pPr>
        <w:pStyle w:val="12"/>
        <w:numPr>
          <w:ilvl w:val="0"/>
          <w:numId w:val="6"/>
        </w:numPr>
        <w:spacing w:line="360" w:lineRule="auto"/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8min快速定量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</w:rPr>
        <w:t>集胶体金快速检测、酶联免疫定量检测、色谱质谱准确检测的特点于一身，实现8min内真菌毒素的快速准确定量检测，检测结果可现场打印；</w:t>
      </w:r>
    </w:p>
    <w:p>
      <w:pPr>
        <w:pStyle w:val="12"/>
        <w:numPr>
          <w:ilvl w:val="0"/>
          <w:numId w:val="6"/>
        </w:numPr>
        <w:spacing w:line="360" w:lineRule="auto"/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内置定量标准曲线</w:t>
      </w:r>
      <w:r>
        <w:rPr>
          <w:rFonts w:hint="eastAsia" w:ascii="微软雅黑" w:hAnsi="微软雅黑" w:eastAsia="微软雅黑"/>
          <w:sz w:val="18"/>
          <w:szCs w:val="18"/>
        </w:rPr>
        <w:t>：仪器内置标准曲线，无需检测时再做标准曲线，既节省了成本，也避免了操作人员与真菌毒素的接触，保护操作人员的安全；</w:t>
      </w:r>
    </w:p>
    <w:p>
      <w:pPr>
        <w:pStyle w:val="12"/>
        <w:numPr>
          <w:ilvl w:val="0"/>
          <w:numId w:val="6"/>
        </w:numPr>
        <w:spacing w:line="360" w:lineRule="auto"/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随到随检</w:t>
      </w:r>
      <w:r>
        <w:rPr>
          <w:rFonts w:hint="eastAsia" w:ascii="微软雅黑" w:hAnsi="微软雅黑" w:eastAsia="微软雅黑"/>
          <w:sz w:val="18"/>
          <w:szCs w:val="18"/>
        </w:rPr>
        <w:t>：对检测样本量无要求，既可单个或少量样本随到随检，也可大量样本同时检测，并可实现现场检测；</w:t>
      </w:r>
    </w:p>
    <w:p>
      <w:pPr>
        <w:pStyle w:val="12"/>
        <w:numPr>
          <w:ilvl w:val="0"/>
          <w:numId w:val="6"/>
        </w:numPr>
        <w:spacing w:line="360" w:lineRule="auto"/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过程简便</w:t>
      </w:r>
      <w:r>
        <w:rPr>
          <w:rFonts w:hint="eastAsia" w:ascii="微软雅黑" w:hAnsi="微软雅黑" w:eastAsia="微软雅黑"/>
          <w:sz w:val="18"/>
          <w:szCs w:val="18"/>
        </w:rPr>
        <w:t>：样品前处理简便，操作简单，也无需对检测样本提取液进行任何pH的调节；</w:t>
      </w:r>
    </w:p>
    <w:p>
      <w:pPr>
        <w:pStyle w:val="12"/>
        <w:numPr>
          <w:ilvl w:val="0"/>
          <w:numId w:val="6"/>
        </w:numPr>
        <w:spacing w:line="360" w:lineRule="auto"/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配置要求低</w:t>
      </w:r>
      <w:r>
        <w:rPr>
          <w:rFonts w:hint="eastAsia" w:ascii="微软雅黑" w:hAnsi="微软雅黑" w:eastAsia="微软雅黑"/>
          <w:sz w:val="18"/>
          <w:szCs w:val="18"/>
        </w:rPr>
        <w:t>：对配套的仪器设备及人员要求低，最低仪器配置仅需1台天平、1把100ul和1ml移液器即可，操作人员仅需短期培训就能熟练掌握；</w:t>
      </w:r>
    </w:p>
    <w:p>
      <w:pPr>
        <w:pStyle w:val="12"/>
        <w:numPr>
          <w:ilvl w:val="0"/>
          <w:numId w:val="6"/>
        </w:numPr>
        <w:spacing w:line="360" w:lineRule="auto"/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远程网络支持</w:t>
      </w:r>
      <w:r>
        <w:rPr>
          <w:rFonts w:hint="eastAsia" w:ascii="微软雅黑" w:hAnsi="微软雅黑" w:eastAsia="微软雅黑"/>
          <w:sz w:val="18"/>
          <w:szCs w:val="18"/>
        </w:rPr>
        <w:t>：仪器可通过网络自动进行标准曲线读取、软件升级、问题故障诊断、质量控制等；</w:t>
      </w:r>
    </w:p>
    <w:p>
      <w:pPr>
        <w:pStyle w:val="12"/>
        <w:numPr>
          <w:ilvl w:val="0"/>
          <w:numId w:val="6"/>
        </w:numPr>
        <w:spacing w:line="360" w:lineRule="auto"/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性价比高</w:t>
      </w:r>
      <w:r>
        <w:rPr>
          <w:rFonts w:hint="eastAsia" w:ascii="微软雅黑" w:hAnsi="微软雅黑" w:eastAsia="微软雅黑"/>
          <w:sz w:val="18"/>
          <w:szCs w:val="18"/>
        </w:rPr>
        <w:t>：花胶体金试纸条的价格，获得色谱质谱检测的质量和结果，并且节省人力物力，大幅降低检测费用；</w:t>
      </w:r>
    </w:p>
    <w:p>
      <w:pPr>
        <w:pStyle w:val="12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/>
          <w:sz w:val="18"/>
          <w:szCs w:val="18"/>
        </w:rPr>
      </w:pPr>
    </w:p>
    <w:p>
      <w:pPr>
        <w:pStyle w:val="12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/>
          <w:sz w:val="18"/>
          <w:szCs w:val="18"/>
        </w:rPr>
      </w:pPr>
    </w:p>
    <w:p>
      <w:pPr>
        <w:pStyle w:val="12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/>
          <w:sz w:val="18"/>
          <w:szCs w:val="18"/>
        </w:rPr>
      </w:pPr>
    </w:p>
    <w:p>
      <w:pPr>
        <w:pStyle w:val="12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/>
          <w:sz w:val="18"/>
          <w:szCs w:val="18"/>
        </w:rPr>
      </w:pPr>
    </w:p>
    <w:p>
      <w:pPr>
        <w:pStyle w:val="12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/>
          <w:sz w:val="18"/>
          <w:szCs w:val="18"/>
        </w:rPr>
      </w:pPr>
    </w:p>
    <w:p>
      <w:pPr>
        <w:pStyle w:val="12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/>
          <w:sz w:val="18"/>
          <w:szCs w:val="18"/>
        </w:rPr>
      </w:pPr>
    </w:p>
    <w:p>
      <w:pPr>
        <w:pStyle w:val="12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/>
          <w:sz w:val="18"/>
          <w:szCs w:val="18"/>
        </w:rPr>
      </w:pPr>
    </w:p>
    <w:p>
      <w:pPr>
        <w:pStyle w:val="12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/>
          <w:sz w:val="18"/>
          <w:szCs w:val="18"/>
        </w:rPr>
      </w:pPr>
    </w:p>
    <w:p>
      <w:pPr>
        <w:pStyle w:val="12"/>
        <w:numPr>
          <w:ilvl w:val="0"/>
          <w:numId w:val="0"/>
        </w:numPr>
        <w:spacing w:line="360" w:lineRule="auto"/>
        <w:ind w:leftChars="0"/>
        <w:rPr>
          <w:rFonts w:ascii="微软雅黑" w:hAnsi="微软雅黑" w:eastAsia="微软雅黑"/>
          <w:sz w:val="18"/>
          <w:szCs w:val="18"/>
        </w:rPr>
      </w:pPr>
    </w:p>
    <w:p>
      <w:pPr>
        <w:pStyle w:val="12"/>
        <w:numPr>
          <w:ilvl w:val="1"/>
          <w:numId w:val="2"/>
        </w:numPr>
        <w:spacing w:line="360" w:lineRule="auto"/>
        <w:ind w:left="426" w:hanging="426" w:firstLine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上海飞测生物真菌毒素荧光定量检测试纸条性能</w:t>
      </w:r>
    </w:p>
    <w:tbl>
      <w:tblPr>
        <w:tblStyle w:val="13"/>
        <w:tblW w:w="9215" w:type="dxa"/>
        <w:tblInd w:w="-318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084"/>
        <w:gridCol w:w="1701"/>
        <w:gridCol w:w="1701"/>
        <w:gridCol w:w="1418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1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vAlign w:val="center"/>
          </w:tcPr>
          <w:p>
            <w:pPr>
              <w:widowControl/>
              <w:spacing w:before="0" w:after="0" w:line="316" w:lineRule="atLeas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18"/>
                <w:szCs w:val="18"/>
              </w:rPr>
              <w:t>产品编号</w:t>
            </w:r>
          </w:p>
        </w:tc>
        <w:tc>
          <w:tcPr>
            <w:tcW w:w="3084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vAlign w:val="center"/>
          </w:tcPr>
          <w:p>
            <w:pPr>
              <w:widowControl/>
              <w:spacing w:before="0" w:after="0" w:line="316" w:lineRule="atLeas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701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vAlign w:val="center"/>
          </w:tcPr>
          <w:p>
            <w:pPr>
              <w:widowControl/>
              <w:spacing w:before="0" w:after="0" w:line="316" w:lineRule="atLeas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18"/>
                <w:szCs w:val="18"/>
              </w:rPr>
              <w:t>定量产品灵敏度</w:t>
            </w:r>
          </w:p>
        </w:tc>
        <w:tc>
          <w:tcPr>
            <w:tcW w:w="1701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vAlign w:val="center"/>
          </w:tcPr>
          <w:p>
            <w:pPr>
              <w:widowControl/>
              <w:spacing w:before="0" w:after="0" w:line="316" w:lineRule="atLeas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18"/>
                <w:szCs w:val="18"/>
              </w:rPr>
              <w:t>定量范围</w:t>
            </w:r>
          </w:p>
        </w:tc>
        <w:tc>
          <w:tcPr>
            <w:tcW w:w="1418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vAlign w:val="center"/>
          </w:tcPr>
          <w:p>
            <w:pPr>
              <w:widowControl/>
              <w:spacing w:before="0" w:after="0" w:line="316" w:lineRule="atLeas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18"/>
                <w:szCs w:val="18"/>
              </w:rPr>
              <w:t>检测时间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11" w:type="dxa"/>
            <w:tcBorders>
              <w:top w:val="single" w:color="000000" w:themeColor="text1" w:sz="8" w:space="0"/>
              <w:left w:val="nil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18"/>
                <w:szCs w:val="18"/>
              </w:rPr>
              <w:t>FAFB02</w:t>
            </w:r>
          </w:p>
        </w:tc>
        <w:tc>
          <w:tcPr>
            <w:tcW w:w="3084" w:type="dxa"/>
            <w:tcBorders>
              <w:top w:val="single" w:color="000000" w:themeColor="text1" w:sz="8" w:space="0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黄曲霉毒素B1荧光定量检测试纸条</w:t>
            </w:r>
          </w:p>
        </w:tc>
        <w:tc>
          <w:tcPr>
            <w:tcW w:w="1701" w:type="dxa"/>
            <w:tcBorders>
              <w:top w:val="single" w:color="000000" w:themeColor="text1" w:sz="8" w:space="0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0.5 μg/kg</w:t>
            </w:r>
          </w:p>
        </w:tc>
        <w:tc>
          <w:tcPr>
            <w:tcW w:w="1701" w:type="dxa"/>
            <w:tcBorders>
              <w:top w:val="single" w:color="000000" w:themeColor="text1" w:sz="8" w:space="0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1-75 μg/kg</w:t>
            </w:r>
          </w:p>
        </w:tc>
        <w:tc>
          <w:tcPr>
            <w:tcW w:w="1418" w:type="dxa"/>
            <w:tcBorders>
              <w:top w:val="single" w:color="000000" w:themeColor="text1" w:sz="8" w:space="0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min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18"/>
                <w:szCs w:val="18"/>
              </w:rPr>
              <w:t>FZEN02</w:t>
            </w:r>
          </w:p>
        </w:tc>
        <w:tc>
          <w:tcPr>
            <w:tcW w:w="30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玉米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赤霉烯酮荧光定量检测试纸条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5.0 μg/kg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10-1000 μg/kg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min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18"/>
                <w:szCs w:val="18"/>
              </w:rPr>
              <w:t>FOTA02</w:t>
            </w:r>
          </w:p>
        </w:tc>
        <w:tc>
          <w:tcPr>
            <w:tcW w:w="3084" w:type="dxa"/>
            <w:tcBorders>
              <w:top w:val="nil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赭曲霉素A荧光定量检测试纸条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1.0 μg/kg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5-500 μg/kg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min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18"/>
                <w:szCs w:val="18"/>
              </w:rPr>
              <w:t>FDON02</w:t>
            </w:r>
          </w:p>
        </w:tc>
        <w:tc>
          <w:tcPr>
            <w:tcW w:w="30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呕吐毒素荧光定量检测试纸条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25 μg/kg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50-5000 μg/kg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min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18"/>
                <w:szCs w:val="18"/>
              </w:rPr>
              <w:t>FTS202</w:t>
            </w:r>
          </w:p>
        </w:tc>
        <w:tc>
          <w:tcPr>
            <w:tcW w:w="3084" w:type="dxa"/>
            <w:tcBorders>
              <w:top w:val="nil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T-2毒素荧光定量检测试纸条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25 μg/kg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100-5000 μg/kg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min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11" w:type="dxa"/>
            <w:tcBorders>
              <w:top w:val="nil"/>
              <w:bottom w:val="single" w:color="000000" w:themeColor="text1" w:sz="8" w:space="0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微软雅黑" w:hAnsi="微软雅黑" w:eastAsia="微软雅黑" w:cs="宋体"/>
                <w:b w:val="0"/>
                <w:bCs/>
                <w:color w:val="000000" w:themeColor="tex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000000" w:themeColor="text1" w:themeShade="BF"/>
                <w:kern w:val="0"/>
                <w:sz w:val="18"/>
                <w:szCs w:val="18"/>
              </w:rPr>
              <w:t>FFB102</w:t>
            </w:r>
          </w:p>
        </w:tc>
        <w:tc>
          <w:tcPr>
            <w:tcW w:w="3084" w:type="dxa"/>
            <w:tcBorders>
              <w:top w:val="nil"/>
              <w:bottom w:val="single" w:color="000000" w:themeColor="text1" w:sz="8" w:space="0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微软雅黑" w:hAnsi="微软雅黑" w:eastAsia="微软雅黑" w:cs="宋体"/>
                <w:color w:val="000000" w:themeColor="tex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 w:themeShade="BF"/>
                <w:kern w:val="0"/>
                <w:sz w:val="18"/>
                <w:szCs w:val="18"/>
              </w:rPr>
              <w:t>伏马菌素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荧光定量检测试纸条</w:t>
            </w:r>
          </w:p>
        </w:tc>
        <w:tc>
          <w:tcPr>
            <w:tcW w:w="1701" w:type="dxa"/>
            <w:tcBorders>
              <w:top w:val="nil"/>
              <w:bottom w:val="single" w:color="000000" w:themeColor="text1" w:sz="8" w:space="0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微软雅黑" w:hAnsi="微软雅黑" w:eastAsia="微软雅黑" w:cs="宋体"/>
                <w:color w:val="000000" w:themeColor="tex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 w:themeShade="BF"/>
                <w:kern w:val="0"/>
                <w:sz w:val="18"/>
                <w:szCs w:val="18"/>
              </w:rPr>
              <w:t xml:space="preserve">25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μg/kg</w:t>
            </w:r>
          </w:p>
        </w:tc>
        <w:tc>
          <w:tcPr>
            <w:tcW w:w="1701" w:type="dxa"/>
            <w:tcBorders>
              <w:top w:val="nil"/>
              <w:bottom w:val="single" w:color="000000" w:themeColor="text1" w:sz="8" w:space="0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微软雅黑" w:hAnsi="微软雅黑" w:eastAsia="微软雅黑" w:cs="宋体"/>
                <w:color w:val="000000" w:themeColor="tex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 w:themeShade="BF"/>
                <w:kern w:val="0"/>
                <w:sz w:val="18"/>
                <w:szCs w:val="18"/>
              </w:rPr>
              <w:t xml:space="preserve">100-5000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μg/kg</w:t>
            </w:r>
          </w:p>
        </w:tc>
        <w:tc>
          <w:tcPr>
            <w:tcW w:w="1418" w:type="dxa"/>
            <w:tcBorders>
              <w:top w:val="nil"/>
              <w:bottom w:val="single" w:color="000000" w:themeColor="text1" w:sz="8" w:space="0"/>
            </w:tcBorders>
            <w:shd w:val="clear" w:color="auto" w:fill="auto"/>
            <w:vAlign w:val="center"/>
          </w:tcPr>
          <w:p>
            <w:pPr>
              <w:widowControl/>
              <w:spacing w:line="316" w:lineRule="atLeast"/>
              <w:jc w:val="center"/>
              <w:rPr>
                <w:rFonts w:ascii="微软雅黑" w:hAnsi="微软雅黑" w:eastAsia="微软雅黑" w:cs="宋体"/>
                <w:color w:val="000000" w:themeColor="tex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min</w:t>
            </w:r>
          </w:p>
        </w:tc>
      </w:tr>
    </w:tbl>
    <w:p>
      <w:pPr>
        <w:pStyle w:val="12"/>
        <w:spacing w:line="360" w:lineRule="auto"/>
        <w:ind w:left="426" w:firstLine="0" w:firstLineChars="0"/>
        <w:rPr>
          <w:rFonts w:ascii="微软雅黑" w:hAnsi="微软雅黑" w:eastAsia="微软雅黑"/>
          <w:b/>
          <w:sz w:val="18"/>
          <w:szCs w:val="18"/>
        </w:rPr>
      </w:pPr>
    </w:p>
    <w:p>
      <w:pPr>
        <w:pStyle w:val="12"/>
        <w:spacing w:line="360" w:lineRule="auto"/>
        <w:ind w:left="426" w:firstLine="0" w:firstLineChars="0"/>
        <w:rPr>
          <w:rFonts w:ascii="微软雅黑" w:hAnsi="微软雅黑" w:eastAsia="微软雅黑"/>
          <w:b/>
          <w:sz w:val="18"/>
          <w:szCs w:val="18"/>
        </w:rPr>
      </w:pPr>
    </w:p>
    <w:p>
      <w:pPr>
        <w:pStyle w:val="12"/>
        <w:spacing w:line="360" w:lineRule="auto"/>
        <w:ind w:left="426" w:firstLine="0" w:firstLineChars="0"/>
        <w:rPr>
          <w:rFonts w:ascii="微软雅黑" w:hAnsi="微软雅黑" w:eastAsia="微软雅黑"/>
          <w:b/>
          <w:sz w:val="18"/>
          <w:szCs w:val="18"/>
        </w:rPr>
      </w:pPr>
    </w:p>
    <w:p>
      <w:pPr>
        <w:pStyle w:val="12"/>
        <w:spacing w:line="360" w:lineRule="auto"/>
        <w:ind w:left="426" w:firstLine="0" w:firstLineChars="0"/>
        <w:rPr>
          <w:rFonts w:ascii="微软雅黑" w:hAnsi="微软雅黑" w:eastAsia="微软雅黑"/>
          <w:b/>
          <w:sz w:val="18"/>
          <w:szCs w:val="18"/>
        </w:rPr>
      </w:pPr>
    </w:p>
    <w:p>
      <w:pPr>
        <w:spacing w:line="360" w:lineRule="auto"/>
        <w:ind w:firstLine="360" w:firstLineChars="20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drawing>
          <wp:inline distT="0" distB="0" distL="0" distR="0">
            <wp:extent cx="2030730" cy="1596390"/>
            <wp:effectExtent l="19050" t="19050" r="26670" b="22860"/>
            <wp:docPr id="10" name="图片 1" descr="飞测微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飞测微讯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2781" cy="159014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7A37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地址：上海市奉贤区生物科技园望园路2165弄5号321室</w:t>
      </w: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邮编：200401</w:t>
      </w: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电话：021-22810403</w:t>
      </w: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技术支持：18019236108</w:t>
      </w: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网址：www.femdetection.com</w:t>
      </w: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邮箱：winston@femdetection.com</w:t>
      </w: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真菌毒素检测技术交流QQ群：493709339</w:t>
      </w: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</w:p>
    <w:p>
      <w:pPr>
        <w:spacing w:line="360" w:lineRule="auto"/>
        <w:rPr>
          <w:rFonts w:ascii="微软雅黑" w:hAnsi="微软雅黑" w:eastAsia="微软雅黑"/>
          <w:sz w:val="18"/>
          <w:szCs w:val="18"/>
        </w:rPr>
      </w:pPr>
    </w:p>
    <w:p>
      <w:pPr>
        <w:spacing w:line="360" w:lineRule="auto"/>
        <w:rPr>
          <w:rFonts w:ascii="微软雅黑" w:hAnsi="微软雅黑" w:eastAsia="微软雅黑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45782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微软雅黑" w:hAnsi="微软雅黑" w:eastAsia="微软雅黑"/>
        <w:sz w:val="15"/>
        <w:szCs w:val="15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-161290</wp:posOffset>
          </wp:positionH>
          <wp:positionV relativeFrom="paragraph">
            <wp:posOffset>-111125</wp:posOffset>
          </wp:positionV>
          <wp:extent cx="1421130" cy="248920"/>
          <wp:effectExtent l="19050" t="0" r="7620" b="0"/>
          <wp:wrapSquare wrapText="bothSides"/>
          <wp:docPr id="3" name="图片 2" descr="飞测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飞测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069"/>
                  <a:stretch>
                    <a:fillRect/>
                  </a:stretch>
                </pic:blipFill>
                <pic:spPr>
                  <a:xfrm>
                    <a:off x="0" y="0"/>
                    <a:ext cx="1421130" cy="248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</w:t>
    </w:r>
    <w:r>
      <w:rPr>
        <w:rFonts w:hint="eastAsia" w:ascii="微软雅黑" w:hAnsi="微软雅黑" w:eastAsia="微软雅黑"/>
        <w:sz w:val="15"/>
        <w:szCs w:val="15"/>
      </w:rPr>
      <w:t xml:space="preserve">         </w:t>
    </w:r>
    <w:r>
      <w:rPr>
        <w:rFonts w:ascii="微软雅黑" w:hAnsi="微软雅黑" w:eastAsia="微软雅黑"/>
        <w:sz w:val="15"/>
        <w:szCs w:val="15"/>
      </w:rPr>
      <w:t>www.femdetection.com</w:t>
    </w:r>
    <w:r>
      <w:rPr>
        <w:rFonts w:hint="eastAsia" w:ascii="微软雅黑" w:hAnsi="微软雅黑" w:eastAsia="微软雅黑"/>
        <w:sz w:val="15"/>
        <w:szCs w:val="15"/>
      </w:rPr>
      <w:t xml:space="preserve">                上海飞测生物科技有限公司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0D27"/>
    <w:multiLevelType w:val="multilevel"/>
    <w:tmpl w:val="0F530D27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6821E5D"/>
    <w:multiLevelType w:val="multilevel"/>
    <w:tmpl w:val="16821E5D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430498"/>
    <w:multiLevelType w:val="multilevel"/>
    <w:tmpl w:val="1B4304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3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43346151"/>
    <w:multiLevelType w:val="multilevel"/>
    <w:tmpl w:val="4334615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4B27021"/>
    <w:multiLevelType w:val="multilevel"/>
    <w:tmpl w:val="54B27021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72D231DB"/>
    <w:multiLevelType w:val="multilevel"/>
    <w:tmpl w:val="72D231DB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1D5"/>
    <w:rsid w:val="000733DB"/>
    <w:rsid w:val="000A678E"/>
    <w:rsid w:val="000C080B"/>
    <w:rsid w:val="001E41FC"/>
    <w:rsid w:val="002B7399"/>
    <w:rsid w:val="002F033D"/>
    <w:rsid w:val="00307B28"/>
    <w:rsid w:val="00340899"/>
    <w:rsid w:val="003476A0"/>
    <w:rsid w:val="003509F6"/>
    <w:rsid w:val="003B5266"/>
    <w:rsid w:val="003E7ABD"/>
    <w:rsid w:val="00413E96"/>
    <w:rsid w:val="004E11A6"/>
    <w:rsid w:val="00555F9C"/>
    <w:rsid w:val="005800CF"/>
    <w:rsid w:val="00584AF6"/>
    <w:rsid w:val="005B12AE"/>
    <w:rsid w:val="005E3830"/>
    <w:rsid w:val="00603F76"/>
    <w:rsid w:val="00612D7E"/>
    <w:rsid w:val="00621C90"/>
    <w:rsid w:val="00671E41"/>
    <w:rsid w:val="006D50D9"/>
    <w:rsid w:val="00753CC6"/>
    <w:rsid w:val="007C5884"/>
    <w:rsid w:val="0084411F"/>
    <w:rsid w:val="00866B14"/>
    <w:rsid w:val="008722CF"/>
    <w:rsid w:val="00873B1C"/>
    <w:rsid w:val="0089364C"/>
    <w:rsid w:val="008D5B86"/>
    <w:rsid w:val="00962A15"/>
    <w:rsid w:val="00996C45"/>
    <w:rsid w:val="009A35CB"/>
    <w:rsid w:val="00AA6368"/>
    <w:rsid w:val="00AE2AEB"/>
    <w:rsid w:val="00B40805"/>
    <w:rsid w:val="00B93A37"/>
    <w:rsid w:val="00BA2A19"/>
    <w:rsid w:val="00BC6A50"/>
    <w:rsid w:val="00BE118A"/>
    <w:rsid w:val="00C33261"/>
    <w:rsid w:val="00C361D5"/>
    <w:rsid w:val="00C426BC"/>
    <w:rsid w:val="00C53A0C"/>
    <w:rsid w:val="00C62FD9"/>
    <w:rsid w:val="00C63037"/>
    <w:rsid w:val="00C7534C"/>
    <w:rsid w:val="00C93ACE"/>
    <w:rsid w:val="00D14B48"/>
    <w:rsid w:val="00D643C6"/>
    <w:rsid w:val="00DE5262"/>
    <w:rsid w:val="00E114A7"/>
    <w:rsid w:val="00E12DF1"/>
    <w:rsid w:val="00E662F6"/>
    <w:rsid w:val="00EF6791"/>
    <w:rsid w:val="00F22C40"/>
    <w:rsid w:val="00F43F4C"/>
    <w:rsid w:val="00F76C2A"/>
    <w:rsid w:val="00F90076"/>
    <w:rsid w:val="00FF32C0"/>
    <w:rsid w:val="052F5703"/>
    <w:rsid w:val="06835367"/>
    <w:rsid w:val="070F41D8"/>
    <w:rsid w:val="0A292525"/>
    <w:rsid w:val="0F662459"/>
    <w:rsid w:val="111A2B61"/>
    <w:rsid w:val="12A9608B"/>
    <w:rsid w:val="14F15BF8"/>
    <w:rsid w:val="18422A3D"/>
    <w:rsid w:val="2F84063C"/>
    <w:rsid w:val="306C1077"/>
    <w:rsid w:val="351C70BB"/>
    <w:rsid w:val="353D425F"/>
    <w:rsid w:val="3B963DD2"/>
    <w:rsid w:val="3E0C1AAE"/>
    <w:rsid w:val="3EA2189F"/>
    <w:rsid w:val="49203368"/>
    <w:rsid w:val="55351C4D"/>
    <w:rsid w:val="56EF2C2B"/>
    <w:rsid w:val="586761EE"/>
    <w:rsid w:val="5BFD64F2"/>
    <w:rsid w:val="5E8E1A86"/>
    <w:rsid w:val="641E05F9"/>
    <w:rsid w:val="6C594011"/>
    <w:rsid w:val="6D026758"/>
    <w:rsid w:val="717654C6"/>
    <w:rsid w:val="7222306F"/>
    <w:rsid w:val="768A54C7"/>
    <w:rsid w:val="7D6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"/>
    <w:basedOn w:val="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浅色底纹1"/>
    <w:basedOn w:val="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1911</Characters>
  <Lines>15</Lines>
  <Paragraphs>4</Paragraphs>
  <ScaleCrop>false</ScaleCrop>
  <LinksUpToDate>false</LinksUpToDate>
  <CharactersWithSpaces>2242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2017-05-03T07:57:00Z</dcterms:created>
  <dc:creator>Think</dc:creator>
  <cp:lastModifiedBy>microdetection</cp:lastModifiedBy>
  <cp:lastPrinted>2017-05-03T08:08:00Z</cp:lastPrinted>
  <dcterms:modified xsi:type="dcterms:W3CDTF">2017-09-28T05:05:54Z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