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color w:val="00B050"/>
          <w:sz w:val="24"/>
          <w:szCs w:val="24"/>
        </w:rPr>
      </w:pPr>
      <w:r>
        <w:rPr>
          <w:rFonts w:ascii="微软雅黑" w:hAnsi="微软雅黑" w:eastAsia="微软雅黑"/>
          <w:b/>
          <w:color w:val="00B050"/>
          <w:sz w:val="24"/>
          <w:szCs w:val="24"/>
        </w:rPr>
        <w:t>花生和花生油中</w:t>
      </w:r>
      <w:r>
        <w:rPr>
          <w:rFonts w:hint="eastAsia" w:ascii="微软雅黑" w:hAnsi="微软雅黑" w:eastAsia="微软雅黑"/>
          <w:b/>
          <w:color w:val="00B050"/>
          <w:sz w:val="24"/>
          <w:szCs w:val="24"/>
        </w:rPr>
        <w:t>黄曲霉毒素B1</w:t>
      </w:r>
      <w:r>
        <w:rPr>
          <w:rFonts w:ascii="微软雅黑" w:hAnsi="微软雅黑" w:eastAsia="微软雅黑"/>
          <w:b/>
          <w:color w:val="00B050"/>
          <w:sz w:val="24"/>
          <w:szCs w:val="24"/>
        </w:rPr>
        <w:t>快速定量检测方案</w:t>
      </w:r>
    </w:p>
    <w:p>
      <w:pPr>
        <w:spacing w:afterLines="100"/>
        <w:jc w:val="center"/>
        <w:rPr>
          <w:rFonts w:ascii="微软雅黑" w:hAnsi="微软雅黑" w:eastAsia="微软雅黑"/>
          <w:b/>
          <w:color w:val="FF0000"/>
          <w:sz w:val="24"/>
          <w:szCs w:val="24"/>
        </w:rPr>
      </w:pPr>
      <w:r>
        <w:rPr>
          <w:rFonts w:hint="eastAsia" w:ascii="微软雅黑" w:hAnsi="微软雅黑" w:eastAsia="微软雅黑"/>
          <w:b/>
          <w:sz w:val="24"/>
          <w:szCs w:val="24"/>
        </w:rPr>
        <w:t xml:space="preserve">            </w:t>
      </w:r>
      <w:r>
        <w:rPr>
          <w:rFonts w:hint="eastAsia" w:ascii="微软雅黑" w:hAnsi="微软雅黑" w:eastAsia="微软雅黑"/>
          <w:b/>
          <w:color w:val="FF0000"/>
          <w:sz w:val="24"/>
          <w:szCs w:val="24"/>
        </w:rPr>
        <w:t xml:space="preserve"> --8min准确定量，国粮局权威验证</w:t>
      </w:r>
    </w:p>
    <w:p>
      <w:pPr>
        <w:pStyle w:val="11"/>
        <w:numPr>
          <w:ilvl w:val="0"/>
          <w:numId w:val="1"/>
        </w:numPr>
        <w:spacing w:line="360" w:lineRule="auto"/>
        <w:ind w:left="426" w:hanging="426" w:firstLineChars="0"/>
        <w:rPr>
          <w:rFonts w:ascii="微软雅黑" w:hAnsi="微软雅黑" w:eastAsia="微软雅黑"/>
          <w:b/>
          <w:color w:val="00B050"/>
          <w:sz w:val="18"/>
          <w:szCs w:val="18"/>
        </w:rPr>
      </w:pPr>
      <w:r>
        <w:rPr>
          <w:rFonts w:hint="eastAsia" w:ascii="微软雅黑" w:hAnsi="微软雅黑" w:eastAsia="微软雅黑"/>
          <w:b/>
          <w:color w:val="00B050"/>
          <w:sz w:val="18"/>
          <w:szCs w:val="18"/>
        </w:rPr>
        <w:t>花生和花生油中黄曲霉毒素B1污染情况</w:t>
      </w:r>
    </w:p>
    <w:p>
      <w:pPr>
        <w:spacing w:line="360" w:lineRule="auto"/>
        <w:ind w:firstLine="360" w:firstLineChars="200"/>
        <w:rPr>
          <w:rFonts w:ascii="微软雅黑" w:hAnsi="微软雅黑" w:eastAsia="微软雅黑"/>
          <w:sz w:val="18"/>
          <w:szCs w:val="18"/>
        </w:rPr>
      </w:pPr>
      <w:r>
        <w:rPr>
          <w:rFonts w:hint="eastAsia" w:ascii="微软雅黑" w:hAnsi="微软雅黑" w:eastAsia="微软雅黑"/>
          <w:sz w:val="18"/>
          <w:szCs w:val="18"/>
        </w:rPr>
        <w:t>花生是全球五大油料作物之一，广泛种植于亚洲、非洲、南美洲等发展中国家和美国等部分发达国家。中国是世界最主要的花生生产国，年种植面积 500 万 hm2，占全球种植面积总量的 20% ，居第 2 位; 产量达 1 600 万 t，占世界总产的40% ，居第 1 位。黄曲霉毒素来自于黄曲霉和寄生曲霉所产生的一种次生代谢物，具有急慢性毒性、致突变性、致癌性和致畸性，其中黄曲霉毒素 B1 毒性是氰化钾的 10 倍，砒霜的 68 倍，被世界卫生组织( WHO) 列为一级致癌物。而花生是最容易受黄曲霉毒素污染的粮油作物之一，花生从生产到消费的每一个环节都可能污染黄曲霉并产生毒素，对人类的健康和安全产生了极大的危害。花生黄曲霉毒素的污染是世界性的问题，是花生及其制品花生油安全消费和出口面临的最大和最主要风险因素，受到广泛关注，世界各国和国际组织都对生产、出口和进口的花生及其产品作严格的黄曲霉毒素AFT 限量规定。而控制花生中和花生油中黄曲霉毒素AFT是一项世界性难题，目前还没有根本的解决办法。</w:t>
      </w:r>
    </w:p>
    <w:p>
      <w:pPr>
        <w:spacing w:line="360" w:lineRule="auto"/>
        <w:ind w:firstLine="360" w:firstLineChars="200"/>
        <w:rPr>
          <w:rFonts w:ascii="微软雅黑" w:hAnsi="微软雅黑" w:eastAsia="微软雅黑"/>
          <w:sz w:val="18"/>
          <w:szCs w:val="18"/>
        </w:rPr>
      </w:pPr>
    </w:p>
    <w:p>
      <w:pPr>
        <w:pStyle w:val="11"/>
        <w:numPr>
          <w:ilvl w:val="0"/>
          <w:numId w:val="1"/>
        </w:numPr>
        <w:spacing w:line="360" w:lineRule="auto"/>
        <w:ind w:left="426" w:hanging="426" w:firstLineChars="0"/>
        <w:rPr>
          <w:rFonts w:ascii="微软雅黑" w:hAnsi="微软雅黑" w:eastAsia="微软雅黑"/>
          <w:b/>
          <w:color w:val="00B050"/>
          <w:sz w:val="18"/>
          <w:szCs w:val="18"/>
        </w:rPr>
      </w:pPr>
      <w:r>
        <w:rPr>
          <w:rFonts w:hint="eastAsia" w:ascii="微软雅黑" w:hAnsi="微软雅黑" w:eastAsia="微软雅黑"/>
          <w:b/>
          <w:color w:val="00B050"/>
          <w:sz w:val="18"/>
          <w:szCs w:val="18"/>
        </w:rPr>
        <w:t>花生和花生油中黄曲霉毒素B1国家残留限量标准</w:t>
      </w:r>
    </w:p>
    <w:tbl>
      <w:tblPr>
        <w:tblStyle w:val="12"/>
        <w:tblpPr w:leftFromText="180" w:rightFromText="180" w:vertAnchor="text" w:horzAnchor="margin" w:tblpY="376"/>
        <w:tblW w:w="8046"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35"/>
        <w:gridCol w:w="4111"/>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3935" w:type="dxa"/>
            <w:tcBorders>
              <w:top w:val="single" w:color="000000" w:themeColor="text1" w:sz="8" w:space="0"/>
              <w:left w:val="nil"/>
              <w:bottom w:val="single" w:color="000000" w:themeColor="text1" w:sz="8" w:space="0"/>
              <w:right w:val="nil"/>
              <w:insideH w:val="single" w:sz="8" w:space="0"/>
              <w:insideV w:val="nil"/>
            </w:tcBorders>
            <w:vAlign w:val="center"/>
          </w:tcPr>
          <w:p>
            <w:pPr>
              <w:pStyle w:val="11"/>
              <w:spacing w:before="0" w:after="0" w:line="360" w:lineRule="auto"/>
              <w:ind w:firstLine="0" w:firstLineChars="0"/>
              <w:jc w:val="center"/>
              <w:rPr>
                <w:rFonts w:ascii="微软雅黑" w:hAnsi="微软雅黑" w:eastAsia="微软雅黑"/>
                <w:b w:val="0"/>
                <w:bCs/>
                <w:color w:val="000000" w:themeColor="text1" w:themeShade="BF"/>
                <w:sz w:val="18"/>
                <w:szCs w:val="18"/>
              </w:rPr>
            </w:pPr>
            <w:r>
              <w:rPr>
                <w:rFonts w:hint="eastAsia" w:ascii="微软雅黑" w:hAnsi="微软雅黑" w:eastAsia="微软雅黑"/>
                <w:b w:val="0"/>
                <w:bCs/>
                <w:color w:val="000000" w:themeColor="text1" w:themeShade="BF"/>
                <w:sz w:val="18"/>
                <w:szCs w:val="18"/>
              </w:rPr>
              <w:t>食品类别</w:t>
            </w:r>
          </w:p>
        </w:tc>
        <w:tc>
          <w:tcPr>
            <w:tcW w:w="4111" w:type="dxa"/>
            <w:tcBorders>
              <w:top w:val="single" w:color="000000" w:themeColor="text1" w:sz="8" w:space="0"/>
              <w:bottom w:val="single" w:color="000000" w:themeColor="text1" w:sz="8" w:space="0"/>
              <w:right w:val="nil"/>
              <w:insideH w:val="single" w:sz="8" w:space="0"/>
              <w:insideV w:val="nil"/>
            </w:tcBorders>
            <w:vAlign w:val="center"/>
          </w:tcPr>
          <w:p>
            <w:pPr>
              <w:pStyle w:val="11"/>
              <w:spacing w:before="0" w:after="0" w:line="360" w:lineRule="auto"/>
              <w:ind w:firstLine="0" w:firstLineChars="0"/>
              <w:jc w:val="center"/>
              <w:rPr>
                <w:rFonts w:ascii="微软雅黑" w:hAnsi="微软雅黑" w:eastAsia="微软雅黑"/>
                <w:b w:val="0"/>
                <w:bCs/>
                <w:color w:val="000000" w:themeColor="text1" w:themeShade="BF"/>
                <w:sz w:val="18"/>
                <w:szCs w:val="18"/>
              </w:rPr>
            </w:pPr>
            <w:r>
              <w:rPr>
                <w:rFonts w:hint="eastAsia" w:ascii="微软雅黑" w:hAnsi="微软雅黑" w:eastAsia="微软雅黑"/>
                <w:b w:val="0"/>
                <w:bCs/>
                <w:color w:val="000000" w:themeColor="text1" w:themeShade="BF"/>
                <w:sz w:val="18"/>
                <w:szCs w:val="18"/>
              </w:rPr>
              <w:t>限量标准（μg/kg）</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3935" w:type="dxa"/>
            <w:tcBorders>
              <w:top w:val="single" w:color="000000" w:themeColor="text1" w:sz="8" w:space="0"/>
              <w:left w:val="nil"/>
              <w:bottom w:val="nil"/>
              <w:right w:val="nil"/>
              <w:insideV w:val="nil"/>
            </w:tcBorders>
            <w:shd w:val="clear" w:color="auto" w:fill="auto"/>
            <w:vAlign w:val="center"/>
          </w:tcPr>
          <w:p>
            <w:pPr>
              <w:pStyle w:val="11"/>
              <w:spacing w:line="360" w:lineRule="auto"/>
              <w:ind w:firstLine="0" w:firstLineChars="0"/>
              <w:jc w:val="center"/>
              <w:rPr>
                <w:rFonts w:ascii="微软雅黑" w:hAnsi="微软雅黑" w:eastAsia="微软雅黑"/>
                <w:b w:val="0"/>
                <w:bCs/>
                <w:color w:val="000000" w:themeColor="text1" w:themeShade="BF"/>
                <w:sz w:val="18"/>
                <w:szCs w:val="18"/>
              </w:rPr>
            </w:pPr>
            <w:r>
              <w:rPr>
                <w:rFonts w:hint="eastAsia" w:ascii="微软雅黑" w:hAnsi="微软雅黑" w:eastAsia="微软雅黑"/>
                <w:b w:val="0"/>
                <w:bCs/>
                <w:color w:val="000000" w:themeColor="text1" w:themeShade="BF"/>
                <w:sz w:val="18"/>
                <w:szCs w:val="18"/>
              </w:rPr>
              <w:t>花生</w:t>
            </w:r>
          </w:p>
        </w:tc>
        <w:tc>
          <w:tcPr>
            <w:tcW w:w="4111" w:type="dxa"/>
            <w:tcBorders>
              <w:top w:val="single" w:color="000000" w:themeColor="text1" w:sz="8" w:space="0"/>
              <w:bottom w:val="nil"/>
              <w:right w:val="nil"/>
              <w:insideV w:val="nil"/>
            </w:tcBorders>
            <w:shd w:val="clear" w:color="auto" w:fill="auto"/>
            <w:vAlign w:val="center"/>
          </w:tcPr>
          <w:p>
            <w:pPr>
              <w:pStyle w:val="11"/>
              <w:spacing w:line="360" w:lineRule="auto"/>
              <w:ind w:firstLine="0" w:firstLineChars="0"/>
              <w:jc w:val="center"/>
              <w:rPr>
                <w:rFonts w:ascii="微软雅黑" w:hAnsi="微软雅黑" w:eastAsia="微软雅黑"/>
                <w:color w:val="000000" w:themeColor="text1" w:themeShade="BF"/>
                <w:sz w:val="18"/>
                <w:szCs w:val="18"/>
              </w:rPr>
            </w:pPr>
            <w:r>
              <w:rPr>
                <w:rFonts w:hint="eastAsia" w:ascii="微软雅黑" w:hAnsi="微软雅黑" w:eastAsia="微软雅黑"/>
                <w:color w:val="000000" w:themeColor="text1" w:themeShade="BF"/>
                <w:sz w:val="18"/>
                <w:szCs w:val="18"/>
              </w:rPr>
              <w:t>20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3935" w:type="dxa"/>
            <w:tcBorders>
              <w:top w:val="nil"/>
            </w:tcBorders>
            <w:vAlign w:val="center"/>
          </w:tcPr>
          <w:p>
            <w:pPr>
              <w:pStyle w:val="11"/>
              <w:spacing w:line="360" w:lineRule="auto"/>
              <w:ind w:firstLine="0" w:firstLineChars="0"/>
              <w:jc w:val="center"/>
              <w:rPr>
                <w:rFonts w:ascii="微软雅黑" w:hAnsi="微软雅黑" w:eastAsia="微软雅黑"/>
                <w:b w:val="0"/>
                <w:bCs/>
                <w:color w:val="000000" w:themeColor="text1" w:themeShade="BF"/>
                <w:sz w:val="18"/>
                <w:szCs w:val="18"/>
              </w:rPr>
            </w:pPr>
            <w:r>
              <w:rPr>
                <w:rFonts w:hint="eastAsia" w:ascii="微软雅黑" w:hAnsi="微软雅黑" w:eastAsia="微软雅黑"/>
                <w:b w:val="0"/>
                <w:bCs/>
                <w:color w:val="000000" w:themeColor="text1" w:themeShade="BF"/>
                <w:sz w:val="18"/>
                <w:szCs w:val="18"/>
              </w:rPr>
              <w:t>花生油</w:t>
            </w:r>
          </w:p>
        </w:tc>
        <w:tc>
          <w:tcPr>
            <w:tcW w:w="4111" w:type="dxa"/>
            <w:tcBorders>
              <w:top w:val="nil"/>
            </w:tcBorders>
            <w:vAlign w:val="center"/>
          </w:tcPr>
          <w:p>
            <w:pPr>
              <w:pStyle w:val="11"/>
              <w:spacing w:line="360" w:lineRule="auto"/>
              <w:ind w:firstLine="0" w:firstLineChars="0"/>
              <w:jc w:val="center"/>
              <w:rPr>
                <w:rFonts w:ascii="微软雅黑" w:hAnsi="微软雅黑" w:eastAsia="微软雅黑"/>
                <w:color w:val="000000" w:themeColor="text1" w:themeShade="BF"/>
                <w:sz w:val="18"/>
                <w:szCs w:val="18"/>
              </w:rPr>
            </w:pPr>
            <w:r>
              <w:rPr>
                <w:rFonts w:hint="eastAsia" w:ascii="微软雅黑" w:hAnsi="微软雅黑" w:eastAsia="微软雅黑"/>
                <w:color w:val="000000" w:themeColor="text1" w:themeShade="BF"/>
                <w:sz w:val="18"/>
                <w:szCs w:val="18"/>
              </w:rPr>
              <w:t>20</w:t>
            </w:r>
          </w:p>
        </w:tc>
      </w:tr>
    </w:tbl>
    <w:p>
      <w:pPr>
        <w:spacing w:line="360" w:lineRule="auto"/>
        <w:rPr>
          <w:rFonts w:ascii="微软雅黑" w:hAnsi="微软雅黑" w:eastAsia="微软雅黑"/>
          <w:sz w:val="18"/>
          <w:szCs w:val="18"/>
        </w:rPr>
      </w:pPr>
      <w:r>
        <w:rPr>
          <w:rFonts w:hint="eastAsia" w:ascii="微软雅黑" w:hAnsi="微软雅黑" w:eastAsia="微软雅黑"/>
          <w:b/>
          <w:sz w:val="18"/>
          <w:szCs w:val="18"/>
        </w:rPr>
        <w:t>引自：</w:t>
      </w:r>
      <w:r>
        <w:rPr>
          <w:rFonts w:hint="eastAsia" w:ascii="微软雅黑" w:hAnsi="微软雅黑" w:eastAsia="微软雅黑"/>
          <w:sz w:val="18"/>
          <w:szCs w:val="18"/>
        </w:rPr>
        <w:t>《GB 2761-2011 食品安全国家标准 食品中真菌毒素限量》</w:t>
      </w:r>
    </w:p>
    <w:p>
      <w:pPr>
        <w:spacing w:line="360" w:lineRule="auto"/>
        <w:rPr>
          <w:rFonts w:ascii="微软雅黑" w:hAnsi="微软雅黑" w:eastAsia="微软雅黑"/>
          <w:sz w:val="18"/>
          <w:szCs w:val="18"/>
        </w:rPr>
      </w:pPr>
    </w:p>
    <w:p>
      <w:pPr>
        <w:pStyle w:val="11"/>
        <w:numPr>
          <w:ilvl w:val="0"/>
          <w:numId w:val="1"/>
        </w:numPr>
        <w:spacing w:line="360" w:lineRule="auto"/>
        <w:ind w:left="426" w:hanging="426" w:firstLineChars="0"/>
        <w:rPr>
          <w:rFonts w:ascii="微软雅黑" w:hAnsi="微软雅黑" w:eastAsia="微软雅黑"/>
          <w:b/>
          <w:color w:val="00B050"/>
          <w:sz w:val="18"/>
          <w:szCs w:val="18"/>
        </w:rPr>
      </w:pPr>
      <w:r>
        <w:rPr>
          <w:rFonts w:hint="eastAsia" w:ascii="微软雅黑" w:hAnsi="微软雅黑" w:eastAsia="微软雅黑"/>
          <w:b/>
          <w:color w:val="00B050"/>
          <w:sz w:val="18"/>
          <w:szCs w:val="18"/>
        </w:rPr>
        <w:t>上海飞测生物花生和花生油中黄曲霉毒素B1快速定量检测方案--8min准确定量</w:t>
      </w:r>
    </w:p>
    <w:p>
      <w:pPr>
        <w:spacing w:line="360" w:lineRule="auto"/>
        <w:rPr>
          <w:rFonts w:ascii="微软雅黑" w:hAnsi="微软雅黑" w:eastAsia="微软雅黑"/>
          <w:sz w:val="18"/>
          <w:szCs w:val="18"/>
        </w:rPr>
      </w:pPr>
      <w:r>
        <w:rPr>
          <w:rFonts w:hint="eastAsia" w:ascii="微软雅黑" w:hAnsi="微软雅黑" w:eastAsia="微软雅黑"/>
          <w:sz w:val="18"/>
          <w:szCs w:val="18"/>
        </w:rPr>
        <w:t xml:space="preserve">    上海飞测生物基于领先的荧光定量FPOCT技术平台，率先推出了黄曲霉毒素B1荧光定量快速检测系统，包含黄曲霉毒素检测仪和黄曲霉毒素荧光定量快速检测试纸条，可在8min快速准确定量的检测出花生和花生油中黄曲霉毒素B1的残留含量，样品前处理简单，检测操作简便，结果准确可靠且可现场打印，准确性符合HPLC法的检测结果，适用于各类花生及花生油加工企业、第三方检测机构及政府监管部门。</w:t>
      </w:r>
    </w:p>
    <w:p>
      <w:pPr>
        <w:spacing w:line="360" w:lineRule="auto"/>
        <w:jc w:val="center"/>
        <w:rPr>
          <w:rFonts w:ascii="微软雅黑" w:hAnsi="微软雅黑" w:eastAsia="微软雅黑"/>
          <w:b/>
          <w:sz w:val="18"/>
          <w:szCs w:val="18"/>
        </w:rPr>
      </w:pPr>
      <w:r>
        <w:rPr>
          <w:rFonts w:ascii="微软雅黑" w:hAnsi="微软雅黑" w:eastAsia="微软雅黑"/>
          <w:b/>
          <w:sz w:val="18"/>
          <w:szCs w:val="18"/>
        </w:rPr>
        <w:drawing>
          <wp:inline distT="0" distB="0" distL="0" distR="0">
            <wp:extent cx="4491990" cy="1087120"/>
            <wp:effectExtent l="0" t="0" r="0" b="0"/>
            <wp:docPr id="1" name="图片 0" descr="说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说明.png"/>
                    <pic:cNvPicPr>
                      <a:picLocks noChangeAspect="1"/>
                    </pic:cNvPicPr>
                  </pic:nvPicPr>
                  <pic:blipFill>
                    <a:blip r:embed="rId6" cstate="print"/>
                    <a:stretch>
                      <a:fillRect/>
                    </a:stretch>
                  </pic:blipFill>
                  <pic:spPr>
                    <a:xfrm>
                      <a:off x="0" y="0"/>
                      <a:ext cx="4494697" cy="1087688"/>
                    </a:xfrm>
                    <a:prstGeom prst="rect">
                      <a:avLst/>
                    </a:prstGeom>
                  </pic:spPr>
                </pic:pic>
              </a:graphicData>
            </a:graphic>
          </wp:inline>
        </w:drawing>
      </w:r>
    </w:p>
    <w:p>
      <w:pPr>
        <w:pStyle w:val="11"/>
        <w:numPr>
          <w:ilvl w:val="1"/>
          <w:numId w:val="2"/>
        </w:numPr>
        <w:spacing w:line="360" w:lineRule="auto"/>
        <w:ind w:left="426" w:hanging="426" w:firstLineChars="0"/>
        <w:rPr>
          <w:rFonts w:ascii="微软雅黑" w:hAnsi="微软雅黑" w:eastAsia="微软雅黑"/>
          <w:b/>
          <w:color w:val="00B050"/>
          <w:sz w:val="18"/>
          <w:szCs w:val="18"/>
        </w:rPr>
      </w:pPr>
      <w:r>
        <w:rPr>
          <w:rFonts w:hint="eastAsia" w:ascii="微软雅黑" w:hAnsi="微软雅黑" w:eastAsia="微软雅黑"/>
          <w:b/>
          <w:color w:val="00B050"/>
          <w:sz w:val="18"/>
          <w:szCs w:val="18"/>
        </w:rPr>
        <w:drawing>
          <wp:anchor distT="0" distB="0" distL="114300" distR="114300" simplePos="0" relativeHeight="251658240" behindDoc="0" locked="0" layoutInCell="1" allowOverlap="1">
            <wp:simplePos x="0" y="0"/>
            <wp:positionH relativeFrom="column">
              <wp:posOffset>3575050</wp:posOffset>
            </wp:positionH>
            <wp:positionV relativeFrom="paragraph">
              <wp:posOffset>162560</wp:posOffset>
            </wp:positionV>
            <wp:extent cx="2191385" cy="1590040"/>
            <wp:effectExtent l="19050" t="0" r="0" b="0"/>
            <wp:wrapSquare wrapText="bothSides"/>
            <wp:docPr id="16" name="图片 15" descr="IMG_0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0019.png"/>
                    <pic:cNvPicPr>
                      <a:picLocks noChangeAspect="1"/>
                    </pic:cNvPicPr>
                  </pic:nvPicPr>
                  <pic:blipFill>
                    <a:blip r:embed="rId7" cstate="print"/>
                    <a:stretch>
                      <a:fillRect/>
                    </a:stretch>
                  </pic:blipFill>
                  <pic:spPr>
                    <a:xfrm>
                      <a:off x="0" y="0"/>
                      <a:ext cx="2191385" cy="1590040"/>
                    </a:xfrm>
                    <a:prstGeom prst="rect">
                      <a:avLst/>
                    </a:prstGeom>
                  </pic:spPr>
                </pic:pic>
              </a:graphicData>
            </a:graphic>
          </wp:anchor>
        </w:drawing>
      </w:r>
      <w:r>
        <w:rPr>
          <w:rFonts w:hint="eastAsia" w:ascii="微软雅黑" w:hAnsi="微软雅黑" w:eastAsia="微软雅黑"/>
          <w:b/>
          <w:color w:val="00B050"/>
          <w:sz w:val="18"/>
          <w:szCs w:val="18"/>
        </w:rPr>
        <w:t>黄曲霉毒素B1荧光定量快速检测系统性能</w:t>
      </w:r>
    </w:p>
    <w:p>
      <w:pPr>
        <w:pStyle w:val="11"/>
        <w:keepNext w:val="0"/>
        <w:keepLines w:val="0"/>
        <w:pageBreakBefore w:val="0"/>
        <w:widowControl w:val="0"/>
        <w:numPr>
          <w:ilvl w:val="1"/>
          <w:numId w:val="3"/>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检测灵敏度：0.5μg/kg；</w:t>
      </w:r>
    </w:p>
    <w:p>
      <w:pPr>
        <w:pStyle w:val="11"/>
        <w:keepNext w:val="0"/>
        <w:keepLines w:val="0"/>
        <w:pageBreakBefore w:val="0"/>
        <w:widowControl w:val="0"/>
        <w:numPr>
          <w:ilvl w:val="1"/>
          <w:numId w:val="3"/>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定量线性范围：1.0μg/kg - 75.0μg/kg；</w:t>
      </w:r>
    </w:p>
    <w:p>
      <w:pPr>
        <w:pStyle w:val="11"/>
        <w:keepNext w:val="0"/>
        <w:keepLines w:val="0"/>
        <w:pageBreakBefore w:val="0"/>
        <w:widowControl w:val="0"/>
        <w:numPr>
          <w:ilvl w:val="1"/>
          <w:numId w:val="3"/>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样品前处理时间：7min；</w:t>
      </w:r>
    </w:p>
    <w:p>
      <w:pPr>
        <w:pStyle w:val="11"/>
        <w:keepNext w:val="0"/>
        <w:keepLines w:val="0"/>
        <w:pageBreakBefore w:val="0"/>
        <w:widowControl w:val="0"/>
        <w:numPr>
          <w:ilvl w:val="1"/>
          <w:numId w:val="3"/>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检测时间：8min；</w:t>
      </w:r>
    </w:p>
    <w:p>
      <w:pPr>
        <w:pStyle w:val="11"/>
        <w:keepNext w:val="0"/>
        <w:keepLines w:val="0"/>
        <w:pageBreakBefore w:val="0"/>
        <w:widowControl w:val="0"/>
        <w:numPr>
          <w:ilvl w:val="1"/>
          <w:numId w:val="3"/>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准确度：回收率为80%-125%；</w:t>
      </w:r>
    </w:p>
    <w:p>
      <w:pPr>
        <w:pStyle w:val="11"/>
        <w:keepNext w:val="0"/>
        <w:keepLines w:val="0"/>
        <w:pageBreakBefore w:val="0"/>
        <w:widowControl w:val="0"/>
        <w:numPr>
          <w:ilvl w:val="1"/>
          <w:numId w:val="3"/>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特异性：在1000μg/kg浓度水平下与其它真菌毒素无交叉反应；</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ascii="微软雅黑" w:hAnsi="微软雅黑" w:eastAsia="微软雅黑"/>
          <w:sz w:val="18"/>
          <w:szCs w:val="18"/>
        </w:rPr>
      </w:pPr>
    </w:p>
    <w:p>
      <w:pPr>
        <w:pStyle w:val="11"/>
        <w:numPr>
          <w:ilvl w:val="1"/>
          <w:numId w:val="2"/>
        </w:numPr>
        <w:spacing w:line="360" w:lineRule="auto"/>
        <w:ind w:left="426" w:hanging="426" w:firstLineChars="0"/>
        <w:rPr>
          <w:rFonts w:ascii="微软雅黑" w:hAnsi="微软雅黑" w:eastAsia="微软雅黑"/>
          <w:b/>
          <w:color w:val="00B050"/>
          <w:sz w:val="18"/>
          <w:szCs w:val="18"/>
        </w:rPr>
      </w:pPr>
      <w:r>
        <w:rPr>
          <w:rFonts w:hint="eastAsia" w:ascii="微软雅黑" w:hAnsi="微软雅黑" w:eastAsia="微软雅黑"/>
          <w:b/>
          <w:color w:val="00B050"/>
          <w:sz w:val="18"/>
          <w:szCs w:val="18"/>
        </w:rPr>
        <w:t>样品前处理过程</w:t>
      </w:r>
    </w:p>
    <w:p>
      <w:pPr>
        <w:pStyle w:val="11"/>
        <w:keepNext w:val="0"/>
        <w:keepLines w:val="0"/>
        <w:pageBreakBefore w:val="0"/>
        <w:widowControl w:val="0"/>
        <w:numPr>
          <w:ilvl w:val="0"/>
          <w:numId w:val="4"/>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粉碎（花生样品粉碎处理，花生油直接称量）；</w:t>
      </w:r>
    </w:p>
    <w:p>
      <w:pPr>
        <w:pStyle w:val="11"/>
        <w:keepNext w:val="0"/>
        <w:keepLines w:val="0"/>
        <w:pageBreakBefore w:val="0"/>
        <w:widowControl w:val="0"/>
        <w:numPr>
          <w:ilvl w:val="0"/>
          <w:numId w:val="4"/>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ascii="微软雅黑" w:hAnsi="微软雅黑" w:eastAsia="微软雅黑"/>
          <w:sz w:val="18"/>
          <w:szCs w:val="18"/>
        </w:rPr>
        <w:t>振荡提取</w:t>
      </w:r>
      <w:r>
        <w:rPr>
          <w:rFonts w:hint="eastAsia" w:ascii="微软雅黑" w:hAnsi="微软雅黑" w:eastAsia="微软雅黑"/>
          <w:sz w:val="18"/>
          <w:szCs w:val="18"/>
        </w:rPr>
        <w:t>（5min）；</w:t>
      </w:r>
    </w:p>
    <w:p>
      <w:pPr>
        <w:pStyle w:val="11"/>
        <w:keepNext w:val="0"/>
        <w:keepLines w:val="0"/>
        <w:pageBreakBefore w:val="0"/>
        <w:widowControl w:val="0"/>
        <w:numPr>
          <w:ilvl w:val="0"/>
          <w:numId w:val="4"/>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离心（2min）；</w:t>
      </w:r>
    </w:p>
    <w:p>
      <w:pPr>
        <w:pStyle w:val="11"/>
        <w:spacing w:line="360" w:lineRule="auto"/>
        <w:ind w:left="426" w:firstLine="0" w:firstLineChars="0"/>
        <w:jc w:val="center"/>
        <w:rPr>
          <w:rFonts w:ascii="微软雅黑" w:hAnsi="微软雅黑" w:eastAsia="微软雅黑"/>
          <w:b/>
          <w:color w:val="00B050"/>
          <w:sz w:val="18"/>
          <w:szCs w:val="18"/>
        </w:rPr>
      </w:pPr>
      <w:r>
        <w:rPr>
          <w:rFonts w:ascii="微软雅黑" w:hAnsi="微软雅黑" w:eastAsia="微软雅黑"/>
          <w:b/>
          <w:sz w:val="18"/>
          <w:szCs w:val="18"/>
        </w:rPr>
        <w:drawing>
          <wp:inline distT="0" distB="0" distL="0" distR="0">
            <wp:extent cx="4767580" cy="1035685"/>
            <wp:effectExtent l="19050" t="0" r="0" b="0"/>
            <wp:docPr id="13" name="图片 12" descr="样品前处理20170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样品前处理20170911.png"/>
                    <pic:cNvPicPr>
                      <a:picLocks noChangeAspect="1"/>
                    </pic:cNvPicPr>
                  </pic:nvPicPr>
                  <pic:blipFill>
                    <a:blip r:embed="rId8" cstate="print"/>
                    <a:stretch>
                      <a:fillRect/>
                    </a:stretch>
                  </pic:blipFill>
                  <pic:spPr>
                    <a:xfrm>
                      <a:off x="0" y="0"/>
                      <a:ext cx="4772578" cy="1037142"/>
                    </a:xfrm>
                    <a:prstGeom prst="rect">
                      <a:avLst/>
                    </a:prstGeom>
                  </pic:spPr>
                </pic:pic>
              </a:graphicData>
            </a:graphic>
          </wp:inline>
        </w:drawing>
      </w:r>
    </w:p>
    <w:p>
      <w:pPr>
        <w:pStyle w:val="11"/>
        <w:numPr>
          <w:ilvl w:val="0"/>
          <w:numId w:val="0"/>
        </w:numPr>
        <w:spacing w:line="360" w:lineRule="auto"/>
        <w:ind w:leftChars="0"/>
        <w:rPr>
          <w:rFonts w:ascii="微软雅黑" w:hAnsi="微软雅黑" w:eastAsia="微软雅黑"/>
          <w:b/>
          <w:color w:val="00B050"/>
          <w:sz w:val="18"/>
          <w:szCs w:val="18"/>
        </w:rPr>
      </w:pPr>
    </w:p>
    <w:p>
      <w:pPr>
        <w:pStyle w:val="11"/>
        <w:numPr>
          <w:ilvl w:val="1"/>
          <w:numId w:val="2"/>
        </w:numPr>
        <w:spacing w:line="360" w:lineRule="auto"/>
        <w:ind w:left="426" w:hanging="426" w:firstLineChars="0"/>
        <w:rPr>
          <w:rFonts w:ascii="微软雅黑" w:hAnsi="微软雅黑" w:eastAsia="微软雅黑"/>
          <w:b/>
          <w:color w:val="00B050"/>
          <w:sz w:val="18"/>
          <w:szCs w:val="18"/>
        </w:rPr>
      </w:pPr>
      <w:r>
        <w:rPr>
          <w:rFonts w:hint="eastAsia" w:ascii="微软雅黑" w:hAnsi="微软雅黑" w:eastAsia="微软雅黑"/>
          <w:b/>
          <w:color w:val="00B050"/>
          <w:sz w:val="18"/>
          <w:szCs w:val="18"/>
        </w:rPr>
        <w:t>检测操作过程</w:t>
      </w:r>
    </w:p>
    <w:p>
      <w:pPr>
        <w:pStyle w:val="11"/>
        <w:keepNext w:val="0"/>
        <w:keepLines w:val="0"/>
        <w:pageBreakBefore w:val="0"/>
        <w:widowControl w:val="0"/>
        <w:numPr>
          <w:ilvl w:val="0"/>
          <w:numId w:val="5"/>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稀释；</w:t>
      </w:r>
    </w:p>
    <w:p>
      <w:pPr>
        <w:pStyle w:val="11"/>
        <w:keepNext w:val="0"/>
        <w:keepLines w:val="0"/>
        <w:pageBreakBefore w:val="0"/>
        <w:widowControl w:val="0"/>
        <w:numPr>
          <w:ilvl w:val="0"/>
          <w:numId w:val="5"/>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加样反应（8min）；</w:t>
      </w:r>
    </w:p>
    <w:p>
      <w:pPr>
        <w:pStyle w:val="11"/>
        <w:keepNext w:val="0"/>
        <w:keepLines w:val="0"/>
        <w:pageBreakBefore w:val="0"/>
        <w:widowControl w:val="0"/>
        <w:numPr>
          <w:ilvl w:val="0"/>
          <w:numId w:val="5"/>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读数，打印检测报告；</w:t>
      </w:r>
    </w:p>
    <w:p>
      <w:pPr>
        <w:pStyle w:val="11"/>
        <w:spacing w:line="360" w:lineRule="auto"/>
        <w:ind w:left="426" w:firstLine="0" w:firstLineChars="0"/>
        <w:jc w:val="center"/>
        <w:rPr>
          <w:rFonts w:ascii="微软雅黑" w:hAnsi="微软雅黑" w:eastAsia="微软雅黑"/>
          <w:b/>
          <w:sz w:val="18"/>
          <w:szCs w:val="18"/>
        </w:rPr>
      </w:pPr>
      <w:r>
        <w:rPr>
          <w:rFonts w:ascii="微软雅黑" w:hAnsi="微软雅黑" w:eastAsia="微软雅黑"/>
          <w:b/>
          <w:sz w:val="18"/>
          <w:szCs w:val="18"/>
        </w:rPr>
        <w:drawing>
          <wp:inline distT="0" distB="0" distL="0" distR="0">
            <wp:extent cx="4735830" cy="1027430"/>
            <wp:effectExtent l="19050" t="0" r="7620" b="0"/>
            <wp:docPr id="14" name="图片 13" descr="检测过程示意图20170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检测过程示意图20170911.png"/>
                    <pic:cNvPicPr>
                      <a:picLocks noChangeAspect="1"/>
                    </pic:cNvPicPr>
                  </pic:nvPicPr>
                  <pic:blipFill>
                    <a:blip r:embed="rId9" cstate="print"/>
                    <a:stretch>
                      <a:fillRect/>
                    </a:stretch>
                  </pic:blipFill>
                  <pic:spPr>
                    <a:xfrm>
                      <a:off x="0" y="0"/>
                      <a:ext cx="4744331" cy="1029290"/>
                    </a:xfrm>
                    <a:prstGeom prst="rect">
                      <a:avLst/>
                    </a:prstGeom>
                  </pic:spPr>
                </pic:pic>
              </a:graphicData>
            </a:graphic>
          </wp:inline>
        </w:drawing>
      </w:r>
    </w:p>
    <w:p>
      <w:pPr>
        <w:pStyle w:val="11"/>
        <w:numPr>
          <w:ilvl w:val="0"/>
          <w:numId w:val="0"/>
        </w:numPr>
        <w:spacing w:line="360" w:lineRule="auto"/>
        <w:ind w:leftChars="0"/>
        <w:rPr>
          <w:rFonts w:ascii="微软雅黑" w:hAnsi="微软雅黑" w:eastAsia="微软雅黑"/>
          <w:b/>
          <w:color w:val="00B050"/>
          <w:sz w:val="18"/>
          <w:szCs w:val="18"/>
        </w:rPr>
      </w:pPr>
    </w:p>
    <w:p>
      <w:pPr>
        <w:pStyle w:val="11"/>
        <w:numPr>
          <w:ilvl w:val="1"/>
          <w:numId w:val="2"/>
        </w:numPr>
        <w:spacing w:line="360" w:lineRule="auto"/>
        <w:ind w:left="426" w:hanging="426" w:firstLineChars="0"/>
        <w:rPr>
          <w:rFonts w:ascii="微软雅黑" w:hAnsi="微软雅黑" w:eastAsia="微软雅黑"/>
          <w:b/>
          <w:color w:val="00B050"/>
          <w:sz w:val="18"/>
          <w:szCs w:val="18"/>
        </w:rPr>
      </w:pPr>
      <w:r>
        <w:rPr>
          <w:rFonts w:hint="eastAsia" w:ascii="微软雅黑" w:hAnsi="微软雅黑" w:eastAsia="微软雅黑"/>
          <w:b/>
          <w:color w:val="00B050"/>
          <w:sz w:val="18"/>
          <w:szCs w:val="18"/>
        </w:rPr>
        <w:t>结果判读和输出</w:t>
      </w:r>
    </w:p>
    <w:p>
      <w:pPr>
        <w:spacing w:line="360" w:lineRule="auto"/>
        <w:rPr>
          <w:rFonts w:ascii="微软雅黑" w:hAnsi="微软雅黑" w:eastAsia="微软雅黑"/>
          <w:sz w:val="18"/>
          <w:szCs w:val="18"/>
        </w:rPr>
      </w:pPr>
      <w:r>
        <w:rPr>
          <w:rFonts w:hint="eastAsia" w:ascii="微软雅黑" w:hAnsi="微软雅黑" w:eastAsia="微软雅黑"/>
          <w:b/>
          <w:sz w:val="18"/>
          <w:szCs w:val="18"/>
        </w:rPr>
        <w:t xml:space="preserve">    </w:t>
      </w:r>
      <w:r>
        <w:rPr>
          <w:rFonts w:hint="eastAsia" w:ascii="微软雅黑" w:hAnsi="微软雅黑" w:eastAsia="微软雅黑"/>
          <w:sz w:val="18"/>
          <w:szCs w:val="18"/>
        </w:rPr>
        <w:t>采用便携式黄曲霉毒素检测仪进行读数，使得检测结果更加准确、客观，避免人为的误判。</w:t>
      </w:r>
    </w:p>
    <w:p>
      <w:pPr>
        <w:spacing w:line="360" w:lineRule="auto"/>
        <w:rPr>
          <w:rFonts w:ascii="微软雅黑" w:hAnsi="微软雅黑" w:eastAsia="微软雅黑"/>
          <w:sz w:val="18"/>
          <w:szCs w:val="18"/>
        </w:rPr>
      </w:pPr>
      <w:r>
        <w:rPr>
          <w:rFonts w:hint="eastAsia" w:ascii="微软雅黑" w:hAnsi="微软雅黑" w:eastAsia="微软雅黑"/>
          <w:sz w:val="18"/>
          <w:szCs w:val="18"/>
        </w:rPr>
        <w:t xml:space="preserve">    检测结果将呈现于荧光读数仪液晶显示屏上，同时可按打印键打印获得纸质的检测报告，另外，开通仪器的WIFI数据上传功能后，检测相关数据信息将自动上传至“食品安全溯源管理云平台”，便于溯源及质量管理。</w:t>
      </w:r>
    </w:p>
    <w:p>
      <w:pPr>
        <w:spacing w:line="360" w:lineRule="auto"/>
        <w:jc w:val="center"/>
        <w:rPr>
          <w:rFonts w:ascii="微软雅黑" w:hAnsi="微软雅黑" w:eastAsia="微软雅黑"/>
          <w:b/>
          <w:sz w:val="18"/>
          <w:szCs w:val="18"/>
        </w:rPr>
      </w:pPr>
      <w:r>
        <w:rPr>
          <w:rFonts w:ascii="微软雅黑" w:hAnsi="微软雅黑" w:eastAsia="微软雅黑"/>
          <w:b/>
          <w:sz w:val="18"/>
          <w:szCs w:val="18"/>
        </w:rPr>
        <w:drawing>
          <wp:inline distT="0" distB="0" distL="0" distR="0">
            <wp:extent cx="2442210" cy="1526540"/>
            <wp:effectExtent l="19050" t="0" r="0" b="0"/>
            <wp:docPr id="11" name="图片 10" descr="a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a111.jpg"/>
                    <pic:cNvPicPr>
                      <a:picLocks noChangeAspect="1"/>
                    </pic:cNvPicPr>
                  </pic:nvPicPr>
                  <pic:blipFill>
                    <a:blip r:embed="rId10"/>
                    <a:stretch>
                      <a:fillRect/>
                    </a:stretch>
                  </pic:blipFill>
                  <pic:spPr>
                    <a:xfrm>
                      <a:off x="0" y="0"/>
                      <a:ext cx="2448839" cy="1530524"/>
                    </a:xfrm>
                    <a:prstGeom prst="rect">
                      <a:avLst/>
                    </a:prstGeom>
                  </pic:spPr>
                </pic:pic>
              </a:graphicData>
            </a:graphic>
          </wp:inline>
        </w:drawing>
      </w:r>
      <w:r>
        <w:rPr>
          <w:rFonts w:hint="eastAsia" w:ascii="微软雅黑" w:hAnsi="微软雅黑" w:eastAsia="微软雅黑"/>
          <w:b/>
          <w:sz w:val="18"/>
          <w:szCs w:val="18"/>
        </w:rPr>
        <w:t xml:space="preserve">           </w:t>
      </w:r>
      <w:r>
        <w:rPr>
          <w:rFonts w:ascii="微软雅黑" w:hAnsi="微软雅黑" w:eastAsia="微软雅黑"/>
          <w:b/>
          <w:sz w:val="18"/>
          <w:szCs w:val="18"/>
        </w:rPr>
        <w:drawing>
          <wp:inline distT="0" distB="0" distL="0" distR="0">
            <wp:extent cx="2056130" cy="1577975"/>
            <wp:effectExtent l="19050" t="0" r="1160" b="0"/>
            <wp:docPr id="12" name="图片 11" descr="IMG_0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0025.png"/>
                    <pic:cNvPicPr>
                      <a:picLocks noChangeAspect="1"/>
                    </pic:cNvPicPr>
                  </pic:nvPicPr>
                  <pic:blipFill>
                    <a:blip r:embed="rId11"/>
                    <a:stretch>
                      <a:fillRect/>
                    </a:stretch>
                  </pic:blipFill>
                  <pic:spPr>
                    <a:xfrm>
                      <a:off x="0" y="0"/>
                      <a:ext cx="2058857" cy="1580054"/>
                    </a:xfrm>
                    <a:prstGeom prst="rect">
                      <a:avLst/>
                    </a:prstGeom>
                  </pic:spPr>
                </pic:pic>
              </a:graphicData>
            </a:graphic>
          </wp:inline>
        </w:drawing>
      </w:r>
    </w:p>
    <w:p>
      <w:pPr>
        <w:spacing w:line="360" w:lineRule="auto"/>
        <w:jc w:val="center"/>
        <w:rPr>
          <w:rFonts w:ascii="微软雅黑" w:hAnsi="微软雅黑" w:eastAsia="微软雅黑"/>
          <w:b/>
          <w:sz w:val="18"/>
          <w:szCs w:val="18"/>
        </w:rPr>
      </w:pPr>
    </w:p>
    <w:p>
      <w:pPr>
        <w:pStyle w:val="11"/>
        <w:numPr>
          <w:ilvl w:val="1"/>
          <w:numId w:val="2"/>
        </w:numPr>
        <w:spacing w:line="360" w:lineRule="auto"/>
        <w:ind w:left="426" w:hanging="426" w:firstLineChars="0"/>
        <w:rPr>
          <w:rFonts w:ascii="微软雅黑" w:hAnsi="微软雅黑" w:eastAsia="微软雅黑"/>
          <w:b/>
          <w:color w:val="00B050"/>
          <w:sz w:val="18"/>
          <w:szCs w:val="18"/>
        </w:rPr>
      </w:pPr>
      <w:r>
        <w:rPr>
          <w:rFonts w:hint="eastAsia" w:ascii="微软雅黑" w:hAnsi="微软雅黑" w:eastAsia="微软雅黑"/>
          <w:b/>
          <w:color w:val="00B050"/>
          <w:sz w:val="18"/>
          <w:szCs w:val="18"/>
        </w:rPr>
        <w:t xml:space="preserve">上海飞测生物真菌毒素系列荧光定量检测试纸条产品亮点 </w:t>
      </w:r>
    </w:p>
    <w:p>
      <w:pPr>
        <w:pStyle w:val="11"/>
        <w:numPr>
          <w:ilvl w:val="0"/>
          <w:numId w:val="6"/>
        </w:numPr>
        <w:spacing w:line="360" w:lineRule="auto"/>
        <w:ind w:firstLineChars="0"/>
        <w:rPr>
          <w:rFonts w:ascii="微软雅黑" w:hAnsi="微软雅黑" w:eastAsia="微软雅黑"/>
          <w:sz w:val="18"/>
          <w:szCs w:val="18"/>
        </w:rPr>
      </w:pPr>
      <w:r>
        <w:rPr>
          <w:rFonts w:hint="eastAsia" w:ascii="微软雅黑" w:hAnsi="微软雅黑" w:eastAsia="微软雅黑"/>
          <w:b/>
          <w:sz w:val="18"/>
          <w:szCs w:val="18"/>
        </w:rPr>
        <w:t>8min快速定量</w:t>
      </w:r>
      <w:r>
        <w:rPr>
          <w:rFonts w:hint="eastAsia" w:ascii="微软雅黑" w:hAnsi="微软雅黑" w:eastAsia="微软雅黑"/>
          <w:sz w:val="18"/>
          <w:szCs w:val="18"/>
        </w:rPr>
        <w:t>--集胶体金快速检测、酶联免疫定量检测、色谱质谱准确检测的特点于一身，实现8min内真菌毒素的快速准确定量检测，检测结果可现场打印；</w:t>
      </w:r>
    </w:p>
    <w:p>
      <w:pPr>
        <w:pStyle w:val="11"/>
        <w:numPr>
          <w:ilvl w:val="0"/>
          <w:numId w:val="6"/>
        </w:numPr>
        <w:spacing w:line="360" w:lineRule="auto"/>
        <w:ind w:firstLineChars="0"/>
        <w:rPr>
          <w:rFonts w:ascii="微软雅黑" w:hAnsi="微软雅黑" w:eastAsia="微软雅黑"/>
          <w:sz w:val="18"/>
          <w:szCs w:val="18"/>
        </w:rPr>
      </w:pPr>
      <w:r>
        <w:rPr>
          <w:rFonts w:hint="eastAsia" w:ascii="微软雅黑" w:hAnsi="微软雅黑" w:eastAsia="微软雅黑"/>
          <w:b/>
          <w:sz w:val="18"/>
          <w:szCs w:val="18"/>
        </w:rPr>
        <w:t>内置定量标准曲线</w:t>
      </w:r>
      <w:r>
        <w:rPr>
          <w:rFonts w:hint="eastAsia" w:ascii="微软雅黑" w:hAnsi="微软雅黑" w:eastAsia="微软雅黑"/>
          <w:sz w:val="18"/>
          <w:szCs w:val="18"/>
        </w:rPr>
        <w:t>：仪器内置标准曲线，无需检测时再做标准曲线，既节省了成本，也避免了操作人员与真菌毒素的接触，保护操作人员的安全；</w:t>
      </w:r>
    </w:p>
    <w:p>
      <w:pPr>
        <w:pStyle w:val="11"/>
        <w:numPr>
          <w:ilvl w:val="0"/>
          <w:numId w:val="6"/>
        </w:numPr>
        <w:spacing w:line="360" w:lineRule="auto"/>
        <w:ind w:firstLineChars="0"/>
        <w:rPr>
          <w:rFonts w:ascii="微软雅黑" w:hAnsi="微软雅黑" w:eastAsia="微软雅黑"/>
          <w:sz w:val="18"/>
          <w:szCs w:val="18"/>
        </w:rPr>
      </w:pPr>
      <w:r>
        <w:rPr>
          <w:rFonts w:hint="eastAsia" w:ascii="微软雅黑" w:hAnsi="微软雅黑" w:eastAsia="微软雅黑"/>
          <w:b/>
          <w:sz w:val="18"/>
          <w:szCs w:val="18"/>
        </w:rPr>
        <w:t>随到随检</w:t>
      </w:r>
      <w:r>
        <w:rPr>
          <w:rFonts w:hint="eastAsia" w:ascii="微软雅黑" w:hAnsi="微软雅黑" w:eastAsia="微软雅黑"/>
          <w:sz w:val="18"/>
          <w:szCs w:val="18"/>
        </w:rPr>
        <w:t>：对检测样本量无要求，既可单个或少量样本随到随检，也可大量样本同时检测，并可实现现场检测；</w:t>
      </w:r>
    </w:p>
    <w:p>
      <w:pPr>
        <w:pStyle w:val="11"/>
        <w:numPr>
          <w:ilvl w:val="0"/>
          <w:numId w:val="6"/>
        </w:numPr>
        <w:spacing w:line="360" w:lineRule="auto"/>
        <w:ind w:firstLineChars="0"/>
        <w:rPr>
          <w:rFonts w:ascii="微软雅黑" w:hAnsi="微软雅黑" w:eastAsia="微软雅黑"/>
          <w:sz w:val="18"/>
          <w:szCs w:val="18"/>
        </w:rPr>
      </w:pPr>
      <w:r>
        <w:rPr>
          <w:rFonts w:hint="eastAsia" w:ascii="微软雅黑" w:hAnsi="微软雅黑" w:eastAsia="微软雅黑"/>
          <w:b/>
          <w:sz w:val="18"/>
          <w:szCs w:val="18"/>
        </w:rPr>
        <w:t>过程简便</w:t>
      </w:r>
      <w:r>
        <w:rPr>
          <w:rFonts w:hint="eastAsia" w:ascii="微软雅黑" w:hAnsi="微软雅黑" w:eastAsia="微软雅黑"/>
          <w:sz w:val="18"/>
          <w:szCs w:val="18"/>
        </w:rPr>
        <w:t>：样品前处理简便，操作简单，也无需对检测样本提取液进行任何pH的调节；</w:t>
      </w:r>
    </w:p>
    <w:p>
      <w:pPr>
        <w:pStyle w:val="11"/>
        <w:numPr>
          <w:ilvl w:val="0"/>
          <w:numId w:val="6"/>
        </w:numPr>
        <w:spacing w:line="360" w:lineRule="auto"/>
        <w:ind w:firstLineChars="0"/>
        <w:rPr>
          <w:rFonts w:ascii="微软雅黑" w:hAnsi="微软雅黑" w:eastAsia="微软雅黑"/>
          <w:sz w:val="18"/>
          <w:szCs w:val="18"/>
        </w:rPr>
      </w:pPr>
      <w:r>
        <w:rPr>
          <w:rFonts w:hint="eastAsia" w:ascii="微软雅黑" w:hAnsi="微软雅黑" w:eastAsia="微软雅黑"/>
          <w:b/>
          <w:sz w:val="18"/>
          <w:szCs w:val="18"/>
        </w:rPr>
        <w:t>配置要求低</w:t>
      </w:r>
      <w:r>
        <w:rPr>
          <w:rFonts w:hint="eastAsia" w:ascii="微软雅黑" w:hAnsi="微软雅黑" w:eastAsia="微软雅黑"/>
          <w:sz w:val="18"/>
          <w:szCs w:val="18"/>
        </w:rPr>
        <w:t>：对配套的仪器设备及人员要求低，最低仪器配置仅需1台天平、1把100ul和1ml移液器即可，操作人员仅需短期培训就能熟练掌握；</w:t>
      </w:r>
    </w:p>
    <w:p>
      <w:pPr>
        <w:pStyle w:val="11"/>
        <w:numPr>
          <w:ilvl w:val="0"/>
          <w:numId w:val="6"/>
        </w:numPr>
        <w:spacing w:line="360" w:lineRule="auto"/>
        <w:ind w:firstLineChars="0"/>
        <w:rPr>
          <w:rFonts w:ascii="微软雅黑" w:hAnsi="微软雅黑" w:eastAsia="微软雅黑"/>
          <w:sz w:val="18"/>
          <w:szCs w:val="18"/>
        </w:rPr>
      </w:pPr>
      <w:r>
        <w:rPr>
          <w:rFonts w:hint="eastAsia" w:ascii="微软雅黑" w:hAnsi="微软雅黑" w:eastAsia="微软雅黑"/>
          <w:b/>
          <w:sz w:val="18"/>
          <w:szCs w:val="18"/>
        </w:rPr>
        <w:t>远程网络支持</w:t>
      </w:r>
      <w:r>
        <w:rPr>
          <w:rFonts w:hint="eastAsia" w:ascii="微软雅黑" w:hAnsi="微软雅黑" w:eastAsia="微软雅黑"/>
          <w:sz w:val="18"/>
          <w:szCs w:val="18"/>
        </w:rPr>
        <w:t>：仪器可通过网络自动进行标准曲线读取、软件升级、问题故障诊断、质量控制等；</w:t>
      </w:r>
    </w:p>
    <w:p>
      <w:pPr>
        <w:pStyle w:val="11"/>
        <w:numPr>
          <w:ilvl w:val="0"/>
          <w:numId w:val="6"/>
        </w:numPr>
        <w:spacing w:line="360" w:lineRule="auto"/>
        <w:ind w:firstLineChars="0"/>
        <w:rPr>
          <w:rFonts w:ascii="微软雅黑" w:hAnsi="微软雅黑" w:eastAsia="微软雅黑"/>
          <w:sz w:val="18"/>
          <w:szCs w:val="18"/>
        </w:rPr>
      </w:pPr>
      <w:r>
        <w:rPr>
          <w:rFonts w:hint="eastAsia" w:ascii="微软雅黑" w:hAnsi="微软雅黑" w:eastAsia="微软雅黑"/>
          <w:b/>
          <w:sz w:val="18"/>
          <w:szCs w:val="18"/>
        </w:rPr>
        <w:t>性价比高</w:t>
      </w:r>
      <w:r>
        <w:rPr>
          <w:rFonts w:hint="eastAsia" w:ascii="微软雅黑" w:hAnsi="微软雅黑" w:eastAsia="微软雅黑"/>
          <w:sz w:val="18"/>
          <w:szCs w:val="18"/>
        </w:rPr>
        <w:t>：花胶体金试纸条的价格，获得色谱质谱检测的质量和结果，并且节省人力物力，大幅降低检测费用；</w:t>
      </w:r>
    </w:p>
    <w:p>
      <w:pPr>
        <w:pStyle w:val="11"/>
        <w:spacing w:line="360" w:lineRule="auto"/>
        <w:ind w:left="420" w:firstLine="0" w:firstLineChars="0"/>
        <w:rPr>
          <w:rFonts w:ascii="微软雅黑" w:hAnsi="微软雅黑" w:eastAsia="微软雅黑"/>
          <w:sz w:val="18"/>
          <w:szCs w:val="18"/>
        </w:rPr>
      </w:pPr>
    </w:p>
    <w:p>
      <w:pPr>
        <w:pStyle w:val="11"/>
        <w:spacing w:line="360" w:lineRule="auto"/>
        <w:ind w:left="420" w:firstLine="0" w:firstLineChars="0"/>
        <w:rPr>
          <w:rFonts w:ascii="微软雅黑" w:hAnsi="微软雅黑" w:eastAsia="微软雅黑"/>
          <w:sz w:val="18"/>
          <w:szCs w:val="18"/>
        </w:rPr>
      </w:pPr>
    </w:p>
    <w:p>
      <w:pPr>
        <w:pStyle w:val="11"/>
        <w:spacing w:line="360" w:lineRule="auto"/>
        <w:ind w:left="420" w:firstLine="0" w:firstLineChars="0"/>
        <w:rPr>
          <w:rFonts w:ascii="微软雅黑" w:hAnsi="微软雅黑" w:eastAsia="微软雅黑"/>
          <w:sz w:val="18"/>
          <w:szCs w:val="18"/>
        </w:rPr>
      </w:pPr>
    </w:p>
    <w:p>
      <w:pPr>
        <w:pStyle w:val="11"/>
        <w:spacing w:line="360" w:lineRule="auto"/>
        <w:ind w:left="420" w:firstLine="0" w:firstLineChars="0"/>
        <w:rPr>
          <w:rFonts w:ascii="微软雅黑" w:hAnsi="微软雅黑" w:eastAsia="微软雅黑"/>
          <w:sz w:val="18"/>
          <w:szCs w:val="18"/>
        </w:rPr>
      </w:pPr>
    </w:p>
    <w:p>
      <w:pPr>
        <w:pStyle w:val="11"/>
        <w:spacing w:line="360" w:lineRule="auto"/>
        <w:ind w:left="420" w:firstLine="0" w:firstLineChars="0"/>
        <w:rPr>
          <w:rFonts w:ascii="微软雅黑" w:hAnsi="微软雅黑" w:eastAsia="微软雅黑"/>
          <w:sz w:val="18"/>
          <w:szCs w:val="18"/>
        </w:rPr>
      </w:pPr>
    </w:p>
    <w:p>
      <w:pPr>
        <w:pStyle w:val="11"/>
        <w:spacing w:line="360" w:lineRule="auto"/>
        <w:ind w:left="420" w:firstLine="0" w:firstLineChars="0"/>
        <w:rPr>
          <w:rFonts w:ascii="微软雅黑" w:hAnsi="微软雅黑" w:eastAsia="微软雅黑"/>
          <w:sz w:val="18"/>
          <w:szCs w:val="18"/>
        </w:rPr>
      </w:pPr>
    </w:p>
    <w:p>
      <w:pPr>
        <w:pStyle w:val="11"/>
        <w:spacing w:line="360" w:lineRule="auto"/>
        <w:ind w:left="420" w:firstLine="0" w:firstLineChars="0"/>
        <w:rPr>
          <w:rFonts w:ascii="微软雅黑" w:hAnsi="微软雅黑" w:eastAsia="微软雅黑"/>
          <w:sz w:val="18"/>
          <w:szCs w:val="18"/>
        </w:rPr>
      </w:pPr>
    </w:p>
    <w:p>
      <w:pPr>
        <w:pStyle w:val="11"/>
        <w:spacing w:line="360" w:lineRule="auto"/>
        <w:ind w:left="420" w:firstLine="0" w:firstLineChars="0"/>
        <w:rPr>
          <w:rFonts w:ascii="微软雅黑" w:hAnsi="微软雅黑" w:eastAsia="微软雅黑"/>
          <w:sz w:val="18"/>
          <w:szCs w:val="18"/>
        </w:rPr>
      </w:pPr>
    </w:p>
    <w:p>
      <w:pPr>
        <w:pStyle w:val="11"/>
        <w:spacing w:line="360" w:lineRule="auto"/>
        <w:ind w:left="420" w:firstLine="0" w:firstLineChars="0"/>
        <w:rPr>
          <w:rFonts w:ascii="微软雅黑" w:hAnsi="微软雅黑" w:eastAsia="微软雅黑"/>
          <w:sz w:val="18"/>
          <w:szCs w:val="18"/>
        </w:rPr>
      </w:pPr>
      <w:bookmarkStart w:id="0" w:name="_GoBack"/>
      <w:bookmarkEnd w:id="0"/>
    </w:p>
    <w:p>
      <w:pPr>
        <w:pStyle w:val="11"/>
        <w:numPr>
          <w:ilvl w:val="1"/>
          <w:numId w:val="2"/>
        </w:numPr>
        <w:spacing w:line="360" w:lineRule="auto"/>
        <w:ind w:left="426" w:hanging="426" w:firstLineChars="0"/>
        <w:rPr>
          <w:rFonts w:ascii="微软雅黑" w:hAnsi="微软雅黑" w:eastAsia="微软雅黑"/>
          <w:b/>
          <w:color w:val="00B050"/>
          <w:sz w:val="18"/>
          <w:szCs w:val="18"/>
        </w:rPr>
      </w:pPr>
      <w:r>
        <w:rPr>
          <w:rFonts w:hint="eastAsia" w:ascii="微软雅黑" w:hAnsi="微软雅黑" w:eastAsia="微软雅黑"/>
          <w:b/>
          <w:color w:val="00B050"/>
          <w:sz w:val="18"/>
          <w:szCs w:val="18"/>
        </w:rPr>
        <w:t>上海飞测生物真菌毒素荧光定量检测试纸条性能</w:t>
      </w:r>
    </w:p>
    <w:tbl>
      <w:tblPr>
        <w:tblStyle w:val="12"/>
        <w:tblW w:w="9215" w:type="dxa"/>
        <w:tblInd w:w="-318"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1"/>
        <w:gridCol w:w="3084"/>
        <w:gridCol w:w="1701"/>
        <w:gridCol w:w="1701"/>
        <w:gridCol w:w="1418"/>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3" w:hRule="atLeast"/>
        </w:trPr>
        <w:tc>
          <w:tcPr>
            <w:tcW w:w="1311" w:type="dxa"/>
            <w:tcBorders>
              <w:top w:val="single" w:color="000000" w:themeColor="text1" w:sz="8" w:space="0"/>
              <w:left w:val="nil"/>
              <w:bottom w:val="single" w:color="000000" w:themeColor="text1" w:sz="8" w:space="0"/>
              <w:right w:val="nil"/>
              <w:insideH w:val="single" w:sz="8" w:space="0"/>
              <w:insideV w:val="nil"/>
            </w:tcBorders>
            <w:vAlign w:val="center"/>
          </w:tcPr>
          <w:p>
            <w:pPr>
              <w:widowControl/>
              <w:spacing w:before="0" w:after="0"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产品编号</w:t>
            </w:r>
          </w:p>
        </w:tc>
        <w:tc>
          <w:tcPr>
            <w:tcW w:w="3084" w:type="dxa"/>
            <w:tcBorders>
              <w:top w:val="single" w:color="000000" w:themeColor="text1" w:sz="8" w:space="0"/>
              <w:bottom w:val="single" w:color="000000" w:themeColor="text1" w:sz="8" w:space="0"/>
              <w:right w:val="nil"/>
              <w:insideH w:val="single" w:sz="8" w:space="0"/>
              <w:insideV w:val="nil"/>
            </w:tcBorders>
            <w:vAlign w:val="center"/>
          </w:tcPr>
          <w:p>
            <w:pPr>
              <w:widowControl/>
              <w:spacing w:before="0" w:after="0"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产品名称</w:t>
            </w:r>
          </w:p>
        </w:tc>
        <w:tc>
          <w:tcPr>
            <w:tcW w:w="1701" w:type="dxa"/>
            <w:tcBorders>
              <w:top w:val="single" w:color="000000" w:themeColor="text1" w:sz="8" w:space="0"/>
              <w:bottom w:val="single" w:color="000000" w:themeColor="text1" w:sz="8" w:space="0"/>
              <w:right w:val="nil"/>
              <w:insideH w:val="single" w:sz="8" w:space="0"/>
              <w:insideV w:val="nil"/>
            </w:tcBorders>
            <w:vAlign w:val="center"/>
          </w:tcPr>
          <w:p>
            <w:pPr>
              <w:widowControl/>
              <w:spacing w:before="0" w:after="0"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定量产品灵敏度</w:t>
            </w:r>
          </w:p>
        </w:tc>
        <w:tc>
          <w:tcPr>
            <w:tcW w:w="1701" w:type="dxa"/>
            <w:tcBorders>
              <w:top w:val="single" w:color="000000" w:themeColor="text1" w:sz="8" w:space="0"/>
              <w:bottom w:val="single" w:color="000000" w:themeColor="text1" w:sz="8" w:space="0"/>
              <w:right w:val="nil"/>
              <w:insideH w:val="single" w:sz="8" w:space="0"/>
              <w:insideV w:val="nil"/>
            </w:tcBorders>
            <w:vAlign w:val="center"/>
          </w:tcPr>
          <w:p>
            <w:pPr>
              <w:widowControl/>
              <w:spacing w:before="0" w:after="0"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定量范围</w:t>
            </w:r>
          </w:p>
        </w:tc>
        <w:tc>
          <w:tcPr>
            <w:tcW w:w="1418" w:type="dxa"/>
            <w:tcBorders>
              <w:top w:val="single" w:color="000000" w:themeColor="text1" w:sz="8" w:space="0"/>
              <w:bottom w:val="single" w:color="000000" w:themeColor="text1" w:sz="8" w:space="0"/>
              <w:right w:val="nil"/>
              <w:insideH w:val="single" w:sz="8" w:space="0"/>
              <w:insideV w:val="nil"/>
            </w:tcBorders>
            <w:vAlign w:val="center"/>
          </w:tcPr>
          <w:p>
            <w:pPr>
              <w:widowControl/>
              <w:spacing w:before="0" w:after="0"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检测时间</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1311" w:type="dxa"/>
            <w:tcBorders>
              <w:top w:val="single" w:color="000000" w:themeColor="text1" w:sz="8" w:space="0"/>
              <w:left w:val="nil"/>
              <w:bottom w:val="nil"/>
              <w:right w:val="nil"/>
              <w:insideV w:val="nil"/>
            </w:tcBorders>
            <w:shd w:val="clear" w:color="auto" w:fill="auto"/>
            <w:vAlign w:val="center"/>
          </w:tcPr>
          <w:p>
            <w:pPr>
              <w:widowControl/>
              <w:spacing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FAFB02</w:t>
            </w:r>
          </w:p>
        </w:tc>
        <w:tc>
          <w:tcPr>
            <w:tcW w:w="3084" w:type="dxa"/>
            <w:tcBorders>
              <w:top w:val="single" w:color="000000" w:themeColor="text1" w:sz="8" w:space="0"/>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黄曲霉毒素B1荧光定量检测试纸条</w:t>
            </w:r>
          </w:p>
        </w:tc>
        <w:tc>
          <w:tcPr>
            <w:tcW w:w="1701" w:type="dxa"/>
            <w:tcBorders>
              <w:top w:val="single" w:color="000000" w:themeColor="text1" w:sz="8" w:space="0"/>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0.5 μg/kg</w:t>
            </w:r>
          </w:p>
        </w:tc>
        <w:tc>
          <w:tcPr>
            <w:tcW w:w="1701" w:type="dxa"/>
            <w:tcBorders>
              <w:top w:val="single" w:color="000000" w:themeColor="text1" w:sz="8" w:space="0"/>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1-75 μg/kg</w:t>
            </w:r>
          </w:p>
        </w:tc>
        <w:tc>
          <w:tcPr>
            <w:tcW w:w="1418" w:type="dxa"/>
            <w:tcBorders>
              <w:top w:val="single" w:color="000000" w:themeColor="text1" w:sz="8" w:space="0"/>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lang w:val="en-US" w:eastAsia="zh-CN"/>
              </w:rPr>
              <w:t>8</w:t>
            </w:r>
            <w:r>
              <w:rPr>
                <w:rFonts w:hint="eastAsia" w:ascii="微软雅黑" w:hAnsi="微软雅黑" w:eastAsia="微软雅黑" w:cs="宋体"/>
                <w:color w:val="auto"/>
                <w:kern w:val="0"/>
                <w:sz w:val="18"/>
                <w:szCs w:val="18"/>
              </w:rPr>
              <w:t xml:space="preserve"> min</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1" w:hRule="atLeast"/>
        </w:trPr>
        <w:tc>
          <w:tcPr>
            <w:tcW w:w="1311" w:type="dxa"/>
            <w:tcBorders>
              <w:top w:val="nil"/>
              <w:bottom w:val="nil"/>
            </w:tcBorders>
            <w:shd w:val="clear" w:color="auto" w:fill="auto"/>
            <w:vAlign w:val="center"/>
          </w:tcPr>
          <w:p>
            <w:pPr>
              <w:widowControl/>
              <w:spacing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FZEN02</w:t>
            </w:r>
          </w:p>
        </w:tc>
        <w:tc>
          <w:tcPr>
            <w:tcW w:w="3084" w:type="dxa"/>
            <w:tcBorders>
              <w:top w:val="nil"/>
              <w:bottom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花生赤霉烯酮荧光定量检测试纸条</w:t>
            </w:r>
          </w:p>
        </w:tc>
        <w:tc>
          <w:tcPr>
            <w:tcW w:w="1701" w:type="dxa"/>
            <w:tcBorders>
              <w:top w:val="nil"/>
              <w:bottom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5.0 μg/kg</w:t>
            </w:r>
          </w:p>
        </w:tc>
        <w:tc>
          <w:tcPr>
            <w:tcW w:w="1701" w:type="dxa"/>
            <w:tcBorders>
              <w:top w:val="nil"/>
              <w:bottom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10-1000 μg/kg</w:t>
            </w:r>
          </w:p>
        </w:tc>
        <w:tc>
          <w:tcPr>
            <w:tcW w:w="1418" w:type="dxa"/>
            <w:tcBorders>
              <w:top w:val="nil"/>
              <w:bottom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lang w:val="en-US" w:eastAsia="zh-CN"/>
              </w:rPr>
              <w:t>8</w:t>
            </w:r>
            <w:r>
              <w:rPr>
                <w:rFonts w:hint="eastAsia" w:ascii="微软雅黑" w:hAnsi="微软雅黑" w:eastAsia="微软雅黑" w:cs="宋体"/>
                <w:color w:val="auto"/>
                <w:kern w:val="0"/>
                <w:sz w:val="18"/>
                <w:szCs w:val="18"/>
              </w:rPr>
              <w:t xml:space="preserve"> min</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3" w:hRule="atLeast"/>
        </w:trPr>
        <w:tc>
          <w:tcPr>
            <w:tcW w:w="1311" w:type="dxa"/>
            <w:tcBorders>
              <w:top w:val="nil"/>
              <w:left w:val="nil"/>
              <w:bottom w:val="nil"/>
              <w:right w:val="nil"/>
              <w:insideV w:val="nil"/>
            </w:tcBorders>
            <w:shd w:val="clear" w:color="auto" w:fill="auto"/>
            <w:vAlign w:val="center"/>
          </w:tcPr>
          <w:p>
            <w:pPr>
              <w:widowControl/>
              <w:spacing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FOTA02</w:t>
            </w:r>
          </w:p>
        </w:tc>
        <w:tc>
          <w:tcPr>
            <w:tcW w:w="3084"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赭曲霉素A荧光定量检测试纸条</w:t>
            </w:r>
          </w:p>
        </w:tc>
        <w:tc>
          <w:tcPr>
            <w:tcW w:w="1701"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1.0 μg/kg</w:t>
            </w:r>
          </w:p>
        </w:tc>
        <w:tc>
          <w:tcPr>
            <w:tcW w:w="1701"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5-500 μg/kg</w:t>
            </w:r>
          </w:p>
        </w:tc>
        <w:tc>
          <w:tcPr>
            <w:tcW w:w="1418"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lang w:val="en-US" w:eastAsia="zh-CN"/>
              </w:rPr>
              <w:t>8</w:t>
            </w:r>
            <w:r>
              <w:rPr>
                <w:rFonts w:hint="eastAsia" w:ascii="微软雅黑" w:hAnsi="微软雅黑" w:eastAsia="微软雅黑" w:cs="宋体"/>
                <w:color w:val="auto"/>
                <w:kern w:val="0"/>
                <w:sz w:val="18"/>
                <w:szCs w:val="18"/>
              </w:rPr>
              <w:t xml:space="preserve"> min</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1311" w:type="dxa"/>
            <w:tcBorders>
              <w:top w:val="nil"/>
              <w:bottom w:val="nil"/>
            </w:tcBorders>
            <w:shd w:val="clear" w:color="auto" w:fill="auto"/>
            <w:vAlign w:val="center"/>
          </w:tcPr>
          <w:p>
            <w:pPr>
              <w:widowControl/>
              <w:spacing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FDON02</w:t>
            </w:r>
          </w:p>
        </w:tc>
        <w:tc>
          <w:tcPr>
            <w:tcW w:w="3084" w:type="dxa"/>
            <w:tcBorders>
              <w:top w:val="nil"/>
              <w:bottom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呕吐毒素荧光定量检测试纸条</w:t>
            </w:r>
          </w:p>
        </w:tc>
        <w:tc>
          <w:tcPr>
            <w:tcW w:w="1701" w:type="dxa"/>
            <w:tcBorders>
              <w:top w:val="nil"/>
              <w:bottom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25 μg/kg</w:t>
            </w:r>
          </w:p>
        </w:tc>
        <w:tc>
          <w:tcPr>
            <w:tcW w:w="1701" w:type="dxa"/>
            <w:tcBorders>
              <w:top w:val="nil"/>
              <w:bottom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50-5000 μg/kg</w:t>
            </w:r>
          </w:p>
        </w:tc>
        <w:tc>
          <w:tcPr>
            <w:tcW w:w="1418" w:type="dxa"/>
            <w:tcBorders>
              <w:top w:val="nil"/>
              <w:bottom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lang w:val="en-US" w:eastAsia="zh-CN"/>
              </w:rPr>
              <w:t>8</w:t>
            </w:r>
            <w:r>
              <w:rPr>
                <w:rFonts w:hint="eastAsia" w:ascii="微软雅黑" w:hAnsi="微软雅黑" w:eastAsia="微软雅黑" w:cs="宋体"/>
                <w:color w:val="auto"/>
                <w:kern w:val="0"/>
                <w:sz w:val="18"/>
                <w:szCs w:val="18"/>
              </w:rPr>
              <w:t>min</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1311" w:type="dxa"/>
            <w:tcBorders>
              <w:top w:val="nil"/>
              <w:left w:val="nil"/>
              <w:bottom w:val="nil"/>
              <w:right w:val="nil"/>
              <w:insideV w:val="nil"/>
            </w:tcBorders>
            <w:shd w:val="clear" w:color="auto" w:fill="auto"/>
            <w:vAlign w:val="center"/>
          </w:tcPr>
          <w:p>
            <w:pPr>
              <w:widowControl/>
              <w:spacing w:line="316" w:lineRule="atLeast"/>
              <w:jc w:val="center"/>
              <w:rPr>
                <w:rFonts w:ascii="宋体" w:hAnsi="宋体" w:eastAsia="宋体" w:cs="宋体"/>
                <w:b w:val="0"/>
                <w:bCs/>
                <w:color w:val="auto"/>
                <w:kern w:val="0"/>
                <w:sz w:val="18"/>
                <w:szCs w:val="18"/>
              </w:rPr>
            </w:pPr>
            <w:r>
              <w:rPr>
                <w:rFonts w:hint="eastAsia" w:ascii="微软雅黑" w:hAnsi="微软雅黑" w:eastAsia="微软雅黑" w:cs="宋体"/>
                <w:b w:val="0"/>
                <w:bCs/>
                <w:color w:val="auto"/>
                <w:kern w:val="0"/>
                <w:sz w:val="18"/>
                <w:szCs w:val="18"/>
              </w:rPr>
              <w:t>FTS202</w:t>
            </w:r>
          </w:p>
        </w:tc>
        <w:tc>
          <w:tcPr>
            <w:tcW w:w="3084"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T-2毒素荧光定量检测试纸条</w:t>
            </w:r>
          </w:p>
        </w:tc>
        <w:tc>
          <w:tcPr>
            <w:tcW w:w="1701"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25 μg/kg</w:t>
            </w:r>
          </w:p>
        </w:tc>
        <w:tc>
          <w:tcPr>
            <w:tcW w:w="1701"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rPr>
              <w:t>100-5000 μg/kg</w:t>
            </w:r>
          </w:p>
        </w:tc>
        <w:tc>
          <w:tcPr>
            <w:tcW w:w="1418" w:type="dxa"/>
            <w:tcBorders>
              <w:top w:val="nil"/>
              <w:bottom w:val="nil"/>
              <w:right w:val="nil"/>
              <w:insideV w:val="nil"/>
            </w:tcBorders>
            <w:shd w:val="clear" w:color="auto" w:fill="auto"/>
            <w:vAlign w:val="center"/>
          </w:tcPr>
          <w:p>
            <w:pPr>
              <w:widowControl/>
              <w:spacing w:line="316" w:lineRule="atLeast"/>
              <w:jc w:val="center"/>
              <w:rPr>
                <w:rFonts w:ascii="宋体" w:hAnsi="宋体" w:eastAsia="宋体" w:cs="宋体"/>
                <w:color w:val="auto"/>
                <w:kern w:val="0"/>
                <w:sz w:val="18"/>
                <w:szCs w:val="18"/>
              </w:rPr>
            </w:pPr>
            <w:r>
              <w:rPr>
                <w:rFonts w:hint="eastAsia" w:ascii="微软雅黑" w:hAnsi="微软雅黑" w:eastAsia="微软雅黑" w:cs="宋体"/>
                <w:color w:val="auto"/>
                <w:kern w:val="0"/>
                <w:sz w:val="18"/>
                <w:szCs w:val="18"/>
                <w:lang w:val="en-US" w:eastAsia="zh-CN"/>
              </w:rPr>
              <w:t>8</w:t>
            </w:r>
            <w:r>
              <w:rPr>
                <w:rFonts w:hint="eastAsia" w:ascii="微软雅黑" w:hAnsi="微软雅黑" w:eastAsia="微软雅黑" w:cs="宋体"/>
                <w:color w:val="auto"/>
                <w:kern w:val="0"/>
                <w:sz w:val="18"/>
                <w:szCs w:val="18"/>
              </w:rPr>
              <w:t xml:space="preserve"> min</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1311" w:type="dxa"/>
            <w:tcBorders>
              <w:top w:val="nil"/>
              <w:bottom w:val="single" w:color="000000" w:themeColor="text1" w:sz="8" w:space="0"/>
            </w:tcBorders>
            <w:shd w:val="clear" w:color="auto" w:fill="auto"/>
            <w:vAlign w:val="center"/>
          </w:tcPr>
          <w:p>
            <w:pPr>
              <w:widowControl/>
              <w:spacing w:line="316" w:lineRule="atLeast"/>
              <w:jc w:val="center"/>
              <w:rPr>
                <w:rFonts w:ascii="微软雅黑" w:hAnsi="微软雅黑" w:eastAsia="微软雅黑" w:cs="宋体"/>
                <w:b w:val="0"/>
                <w:bCs/>
                <w:color w:val="000000" w:themeColor="text1" w:themeShade="BF"/>
                <w:kern w:val="0"/>
                <w:sz w:val="18"/>
                <w:szCs w:val="18"/>
              </w:rPr>
            </w:pPr>
            <w:r>
              <w:rPr>
                <w:rFonts w:hint="eastAsia" w:ascii="微软雅黑" w:hAnsi="微软雅黑" w:eastAsia="微软雅黑" w:cs="宋体"/>
                <w:b w:val="0"/>
                <w:bCs/>
                <w:color w:val="000000" w:themeColor="text1" w:themeShade="BF"/>
                <w:kern w:val="0"/>
                <w:sz w:val="18"/>
                <w:szCs w:val="18"/>
              </w:rPr>
              <w:t>FFB102</w:t>
            </w:r>
          </w:p>
        </w:tc>
        <w:tc>
          <w:tcPr>
            <w:tcW w:w="3084" w:type="dxa"/>
            <w:tcBorders>
              <w:top w:val="nil"/>
              <w:bottom w:val="single" w:color="000000" w:themeColor="text1" w:sz="8" w:space="0"/>
            </w:tcBorders>
            <w:shd w:val="clear" w:color="auto" w:fill="auto"/>
            <w:vAlign w:val="center"/>
          </w:tcPr>
          <w:p>
            <w:pPr>
              <w:widowControl/>
              <w:spacing w:line="316" w:lineRule="atLeast"/>
              <w:jc w:val="center"/>
              <w:rPr>
                <w:rFonts w:ascii="微软雅黑" w:hAnsi="微软雅黑" w:eastAsia="微软雅黑" w:cs="宋体"/>
                <w:color w:val="000000" w:themeColor="text1" w:themeShade="BF"/>
                <w:kern w:val="0"/>
                <w:sz w:val="18"/>
                <w:szCs w:val="18"/>
              </w:rPr>
            </w:pPr>
            <w:r>
              <w:rPr>
                <w:rFonts w:hint="eastAsia" w:ascii="微软雅黑" w:hAnsi="微软雅黑" w:eastAsia="微软雅黑" w:cs="宋体"/>
                <w:color w:val="000000" w:themeColor="text1" w:themeShade="BF"/>
                <w:kern w:val="0"/>
                <w:sz w:val="18"/>
                <w:szCs w:val="18"/>
              </w:rPr>
              <w:t>伏马菌素</w:t>
            </w:r>
            <w:r>
              <w:rPr>
                <w:rFonts w:hint="eastAsia" w:ascii="微软雅黑" w:hAnsi="微软雅黑" w:eastAsia="微软雅黑" w:cs="宋体"/>
                <w:color w:val="auto"/>
                <w:kern w:val="0"/>
                <w:sz w:val="18"/>
                <w:szCs w:val="18"/>
              </w:rPr>
              <w:t>荧光定量检测试纸条</w:t>
            </w:r>
          </w:p>
        </w:tc>
        <w:tc>
          <w:tcPr>
            <w:tcW w:w="1701" w:type="dxa"/>
            <w:tcBorders>
              <w:top w:val="nil"/>
              <w:bottom w:val="single" w:color="000000" w:themeColor="text1" w:sz="8" w:space="0"/>
            </w:tcBorders>
            <w:shd w:val="clear" w:color="auto" w:fill="auto"/>
            <w:vAlign w:val="center"/>
          </w:tcPr>
          <w:p>
            <w:pPr>
              <w:widowControl/>
              <w:spacing w:line="316" w:lineRule="atLeast"/>
              <w:jc w:val="center"/>
              <w:rPr>
                <w:rFonts w:ascii="微软雅黑" w:hAnsi="微软雅黑" w:eastAsia="微软雅黑" w:cs="宋体"/>
                <w:color w:val="000000" w:themeColor="text1" w:themeShade="BF"/>
                <w:kern w:val="0"/>
                <w:sz w:val="18"/>
                <w:szCs w:val="18"/>
              </w:rPr>
            </w:pPr>
            <w:r>
              <w:rPr>
                <w:rFonts w:hint="eastAsia" w:ascii="微软雅黑" w:hAnsi="微软雅黑" w:eastAsia="微软雅黑" w:cs="宋体"/>
                <w:color w:val="000000" w:themeColor="text1" w:themeShade="BF"/>
                <w:kern w:val="0"/>
                <w:sz w:val="18"/>
                <w:szCs w:val="18"/>
              </w:rPr>
              <w:t xml:space="preserve">25 </w:t>
            </w:r>
            <w:r>
              <w:rPr>
                <w:rFonts w:hint="eastAsia" w:ascii="微软雅黑" w:hAnsi="微软雅黑" w:eastAsia="微软雅黑" w:cs="宋体"/>
                <w:color w:val="auto"/>
                <w:kern w:val="0"/>
                <w:sz w:val="18"/>
                <w:szCs w:val="18"/>
              </w:rPr>
              <w:t>μg/kg</w:t>
            </w:r>
          </w:p>
        </w:tc>
        <w:tc>
          <w:tcPr>
            <w:tcW w:w="1701" w:type="dxa"/>
            <w:tcBorders>
              <w:top w:val="nil"/>
              <w:bottom w:val="single" w:color="000000" w:themeColor="text1" w:sz="8" w:space="0"/>
            </w:tcBorders>
            <w:shd w:val="clear" w:color="auto" w:fill="auto"/>
            <w:vAlign w:val="center"/>
          </w:tcPr>
          <w:p>
            <w:pPr>
              <w:widowControl/>
              <w:spacing w:line="316" w:lineRule="atLeast"/>
              <w:jc w:val="center"/>
              <w:rPr>
                <w:rFonts w:ascii="微软雅黑" w:hAnsi="微软雅黑" w:eastAsia="微软雅黑" w:cs="宋体"/>
                <w:color w:val="000000" w:themeColor="text1" w:themeShade="BF"/>
                <w:kern w:val="0"/>
                <w:sz w:val="18"/>
                <w:szCs w:val="18"/>
              </w:rPr>
            </w:pPr>
            <w:r>
              <w:rPr>
                <w:rFonts w:hint="eastAsia" w:ascii="微软雅黑" w:hAnsi="微软雅黑" w:eastAsia="微软雅黑" w:cs="宋体"/>
                <w:color w:val="000000" w:themeColor="text1" w:themeShade="BF"/>
                <w:kern w:val="0"/>
                <w:sz w:val="18"/>
                <w:szCs w:val="18"/>
              </w:rPr>
              <w:t xml:space="preserve">100-5000 </w:t>
            </w:r>
            <w:r>
              <w:rPr>
                <w:rFonts w:hint="eastAsia" w:ascii="微软雅黑" w:hAnsi="微软雅黑" w:eastAsia="微软雅黑" w:cs="宋体"/>
                <w:color w:val="auto"/>
                <w:kern w:val="0"/>
                <w:sz w:val="18"/>
                <w:szCs w:val="18"/>
              </w:rPr>
              <w:t>μg/kg</w:t>
            </w:r>
          </w:p>
        </w:tc>
        <w:tc>
          <w:tcPr>
            <w:tcW w:w="1418" w:type="dxa"/>
            <w:tcBorders>
              <w:top w:val="nil"/>
              <w:bottom w:val="single" w:color="000000" w:themeColor="text1" w:sz="8" w:space="0"/>
            </w:tcBorders>
            <w:shd w:val="clear" w:color="auto" w:fill="auto"/>
            <w:vAlign w:val="center"/>
          </w:tcPr>
          <w:p>
            <w:pPr>
              <w:widowControl/>
              <w:spacing w:line="316" w:lineRule="atLeast"/>
              <w:jc w:val="center"/>
              <w:rPr>
                <w:rFonts w:ascii="微软雅黑" w:hAnsi="微软雅黑" w:eastAsia="微软雅黑" w:cs="宋体"/>
                <w:color w:val="000000" w:themeColor="text1" w:themeShade="BF"/>
                <w:kern w:val="0"/>
                <w:sz w:val="18"/>
                <w:szCs w:val="18"/>
              </w:rPr>
            </w:pPr>
            <w:r>
              <w:rPr>
                <w:rFonts w:hint="eastAsia" w:ascii="微软雅黑" w:hAnsi="微软雅黑" w:eastAsia="微软雅黑" w:cs="宋体"/>
                <w:color w:val="auto"/>
                <w:kern w:val="0"/>
                <w:sz w:val="18"/>
                <w:szCs w:val="18"/>
                <w:lang w:val="en-US" w:eastAsia="zh-CN"/>
              </w:rPr>
              <w:t>8</w:t>
            </w:r>
            <w:r>
              <w:rPr>
                <w:rFonts w:hint="eastAsia" w:ascii="微软雅黑" w:hAnsi="微软雅黑" w:eastAsia="微软雅黑" w:cs="宋体"/>
                <w:color w:val="auto"/>
                <w:kern w:val="0"/>
                <w:sz w:val="18"/>
                <w:szCs w:val="18"/>
              </w:rPr>
              <w:t xml:space="preserve"> min</w:t>
            </w:r>
          </w:p>
        </w:tc>
      </w:tr>
    </w:tbl>
    <w:p>
      <w:pPr>
        <w:pStyle w:val="11"/>
        <w:spacing w:line="360" w:lineRule="auto"/>
        <w:ind w:left="426" w:firstLine="0" w:firstLineChars="0"/>
        <w:rPr>
          <w:rFonts w:ascii="微软雅黑" w:hAnsi="微软雅黑" w:eastAsia="微软雅黑"/>
          <w:b/>
          <w:sz w:val="18"/>
          <w:szCs w:val="18"/>
        </w:rPr>
      </w:pPr>
    </w:p>
    <w:p>
      <w:pPr>
        <w:pStyle w:val="11"/>
        <w:spacing w:line="360" w:lineRule="auto"/>
        <w:ind w:left="426" w:firstLine="0" w:firstLineChars="0"/>
        <w:rPr>
          <w:rFonts w:ascii="微软雅黑" w:hAnsi="微软雅黑" w:eastAsia="微软雅黑"/>
          <w:b/>
          <w:sz w:val="18"/>
          <w:szCs w:val="18"/>
        </w:rPr>
      </w:pPr>
    </w:p>
    <w:p>
      <w:pPr>
        <w:pStyle w:val="11"/>
        <w:spacing w:line="360" w:lineRule="auto"/>
        <w:ind w:left="426" w:firstLine="0" w:firstLineChars="0"/>
        <w:rPr>
          <w:rFonts w:ascii="微软雅黑" w:hAnsi="微软雅黑" w:eastAsia="微软雅黑"/>
          <w:b/>
          <w:sz w:val="18"/>
          <w:szCs w:val="18"/>
        </w:rPr>
      </w:pPr>
    </w:p>
    <w:p>
      <w:pPr>
        <w:pStyle w:val="11"/>
        <w:spacing w:line="360" w:lineRule="auto"/>
        <w:ind w:left="0" w:leftChars="0" w:firstLine="0" w:firstLineChars="0"/>
        <w:rPr>
          <w:rFonts w:ascii="微软雅黑" w:hAnsi="微软雅黑" w:eastAsia="微软雅黑"/>
          <w:b/>
          <w:sz w:val="18"/>
          <w:szCs w:val="18"/>
        </w:rPr>
      </w:pPr>
    </w:p>
    <w:p>
      <w:pPr>
        <w:pStyle w:val="11"/>
        <w:spacing w:line="360" w:lineRule="auto"/>
        <w:ind w:left="426" w:firstLine="0" w:firstLineChars="0"/>
        <w:rPr>
          <w:rFonts w:ascii="微软雅黑" w:hAnsi="微软雅黑" w:eastAsia="微软雅黑"/>
          <w:b/>
          <w:sz w:val="18"/>
          <w:szCs w:val="18"/>
        </w:rPr>
      </w:pPr>
    </w:p>
    <w:p>
      <w:pPr>
        <w:spacing w:line="360" w:lineRule="auto"/>
        <w:ind w:firstLine="360" w:firstLineChars="200"/>
        <w:jc w:val="center"/>
        <w:rPr>
          <w:rFonts w:ascii="微软雅黑" w:hAnsi="微软雅黑" w:eastAsia="微软雅黑"/>
          <w:sz w:val="18"/>
          <w:szCs w:val="18"/>
        </w:rPr>
      </w:pPr>
      <w:r>
        <w:rPr>
          <w:rFonts w:ascii="微软雅黑" w:hAnsi="微软雅黑" w:eastAsia="微软雅黑"/>
          <w:sz w:val="18"/>
          <w:szCs w:val="18"/>
        </w:rPr>
        <w:drawing>
          <wp:inline distT="0" distB="0" distL="0" distR="0">
            <wp:extent cx="2030730" cy="1596390"/>
            <wp:effectExtent l="19050" t="19050" r="26670" b="22860"/>
            <wp:docPr id="10" name="图片 1" descr="飞测微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飞测微讯.jpg"/>
                    <pic:cNvPicPr>
                      <a:picLocks noChangeAspect="1"/>
                    </pic:cNvPicPr>
                  </pic:nvPicPr>
                  <pic:blipFill>
                    <a:blip r:embed="rId12" cstate="print"/>
                    <a:srcRect/>
                    <a:stretch>
                      <a:fillRect/>
                    </a:stretch>
                  </pic:blipFill>
                  <pic:spPr>
                    <a:xfrm>
                      <a:off x="0" y="0"/>
                      <a:ext cx="2022781" cy="1590141"/>
                    </a:xfrm>
                    <a:prstGeom prst="rect">
                      <a:avLst/>
                    </a:prstGeom>
                    <a:noFill/>
                    <a:ln w="12700">
                      <a:solidFill>
                        <a:srgbClr val="007A37"/>
                      </a:solidFill>
                      <a:miter lim="800000"/>
                      <a:headEnd/>
                      <a:tailEnd/>
                    </a:ln>
                  </pic:spPr>
                </pic:pic>
              </a:graphicData>
            </a:graphic>
          </wp:inline>
        </w:drawing>
      </w:r>
    </w:p>
    <w:p>
      <w:pPr>
        <w:spacing w:line="360" w:lineRule="auto"/>
        <w:ind w:firstLine="420" w:firstLineChars="200"/>
        <w:jc w:val="center"/>
        <w:rPr>
          <w:rFonts w:ascii="微软雅黑" w:hAnsi="微软雅黑" w:eastAsia="微软雅黑"/>
          <w:szCs w:val="21"/>
        </w:rPr>
      </w:pPr>
      <w:r>
        <w:rPr>
          <w:rFonts w:hint="eastAsia" w:ascii="微软雅黑" w:hAnsi="微软雅黑" w:eastAsia="微软雅黑"/>
          <w:b/>
          <w:bCs/>
          <w:szCs w:val="21"/>
        </w:rPr>
        <w:t>地址：上海市奉贤区生物科技园望园路2165弄5号321室</w:t>
      </w:r>
    </w:p>
    <w:p>
      <w:pPr>
        <w:spacing w:line="360" w:lineRule="auto"/>
        <w:ind w:firstLine="420" w:firstLineChars="200"/>
        <w:jc w:val="center"/>
        <w:rPr>
          <w:rFonts w:ascii="微软雅黑" w:hAnsi="微软雅黑" w:eastAsia="微软雅黑"/>
          <w:szCs w:val="21"/>
        </w:rPr>
      </w:pPr>
      <w:r>
        <w:rPr>
          <w:rFonts w:hint="eastAsia" w:ascii="微软雅黑" w:hAnsi="微软雅黑" w:eastAsia="微软雅黑"/>
          <w:b/>
          <w:bCs/>
          <w:szCs w:val="21"/>
        </w:rPr>
        <w:t>邮编：200401</w:t>
      </w:r>
    </w:p>
    <w:p>
      <w:pPr>
        <w:spacing w:line="360" w:lineRule="auto"/>
        <w:ind w:firstLine="420" w:firstLineChars="200"/>
        <w:jc w:val="center"/>
        <w:rPr>
          <w:rFonts w:ascii="微软雅黑" w:hAnsi="微软雅黑" w:eastAsia="微软雅黑"/>
          <w:szCs w:val="21"/>
        </w:rPr>
      </w:pPr>
      <w:r>
        <w:rPr>
          <w:rFonts w:hint="eastAsia" w:ascii="微软雅黑" w:hAnsi="微软雅黑" w:eastAsia="微软雅黑"/>
          <w:b/>
          <w:bCs/>
          <w:szCs w:val="21"/>
        </w:rPr>
        <w:t>电话：021-22810403</w:t>
      </w:r>
    </w:p>
    <w:p>
      <w:pPr>
        <w:spacing w:line="360" w:lineRule="auto"/>
        <w:ind w:firstLine="420" w:firstLineChars="200"/>
        <w:jc w:val="center"/>
        <w:rPr>
          <w:rFonts w:ascii="微软雅黑" w:hAnsi="微软雅黑" w:eastAsia="微软雅黑"/>
          <w:szCs w:val="21"/>
        </w:rPr>
      </w:pPr>
      <w:r>
        <w:rPr>
          <w:rFonts w:hint="eastAsia" w:ascii="微软雅黑" w:hAnsi="微软雅黑" w:eastAsia="微软雅黑"/>
          <w:b/>
          <w:bCs/>
          <w:szCs w:val="21"/>
        </w:rPr>
        <w:t>技术支持：18019236108</w:t>
      </w:r>
    </w:p>
    <w:p>
      <w:pPr>
        <w:spacing w:line="360" w:lineRule="auto"/>
        <w:ind w:firstLine="420" w:firstLineChars="200"/>
        <w:jc w:val="center"/>
        <w:rPr>
          <w:rFonts w:ascii="微软雅黑" w:hAnsi="微软雅黑" w:eastAsia="微软雅黑"/>
          <w:szCs w:val="21"/>
        </w:rPr>
      </w:pPr>
      <w:r>
        <w:rPr>
          <w:rFonts w:hint="eastAsia" w:ascii="微软雅黑" w:hAnsi="微软雅黑" w:eastAsia="微软雅黑"/>
          <w:b/>
          <w:bCs/>
          <w:szCs w:val="21"/>
        </w:rPr>
        <w:t>网址：www.femdetection.com</w:t>
      </w:r>
    </w:p>
    <w:p>
      <w:pPr>
        <w:spacing w:line="360" w:lineRule="auto"/>
        <w:ind w:firstLine="420" w:firstLineChars="200"/>
        <w:jc w:val="center"/>
        <w:rPr>
          <w:rFonts w:ascii="微软雅黑" w:hAnsi="微软雅黑" w:eastAsia="微软雅黑"/>
          <w:szCs w:val="21"/>
        </w:rPr>
      </w:pPr>
      <w:r>
        <w:rPr>
          <w:rFonts w:hint="eastAsia" w:ascii="微软雅黑" w:hAnsi="微软雅黑" w:eastAsia="微软雅黑"/>
          <w:b/>
          <w:bCs/>
          <w:szCs w:val="21"/>
        </w:rPr>
        <w:t>邮箱：winston@femdetection.com</w:t>
      </w:r>
    </w:p>
    <w:p>
      <w:pPr>
        <w:spacing w:line="360" w:lineRule="auto"/>
        <w:ind w:firstLine="420" w:firstLineChars="200"/>
        <w:jc w:val="center"/>
        <w:rPr>
          <w:rFonts w:ascii="微软雅黑" w:hAnsi="微软雅黑" w:eastAsia="微软雅黑"/>
          <w:szCs w:val="21"/>
        </w:rPr>
      </w:pPr>
      <w:r>
        <w:rPr>
          <w:rFonts w:hint="eastAsia" w:ascii="微软雅黑" w:hAnsi="微软雅黑" w:eastAsia="微软雅黑"/>
          <w:b/>
          <w:bCs/>
          <w:szCs w:val="21"/>
        </w:rPr>
        <w:t>真菌毒素检测技术交流QQ群：493709339</w:t>
      </w:r>
    </w:p>
    <w:p>
      <w:pPr>
        <w:spacing w:line="360" w:lineRule="auto"/>
        <w:ind w:firstLine="420" w:firstLineChars="200"/>
        <w:jc w:val="center"/>
        <w:rPr>
          <w:rFonts w:ascii="微软雅黑" w:hAnsi="微软雅黑" w:eastAsia="微软雅黑"/>
          <w:szCs w:val="21"/>
        </w:rPr>
      </w:pPr>
    </w:p>
    <w:p>
      <w:pPr>
        <w:spacing w:line="360" w:lineRule="auto"/>
        <w:rPr>
          <w:rFonts w:ascii="微软雅黑" w:hAnsi="微软雅黑" w:eastAsia="微软雅黑"/>
          <w:sz w:val="18"/>
          <w:szCs w:val="18"/>
        </w:rPr>
      </w:pPr>
    </w:p>
    <w:p>
      <w:pPr>
        <w:spacing w:line="360" w:lineRule="auto"/>
        <w:rPr>
          <w:rFonts w:ascii="微软雅黑" w:hAnsi="微软雅黑" w:eastAsia="微软雅黑"/>
          <w:sz w:val="18"/>
          <w:szCs w:val="1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45782"/>
    </w:sdtPr>
    <w:sdtContent>
      <w:sdt>
        <w:sdtPr>
          <w:id w:val="171357217"/>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微软雅黑" w:hAnsi="微软雅黑" w:eastAsia="微软雅黑"/>
        <w:sz w:val="15"/>
        <w:szCs w:val="15"/>
      </w:rPr>
    </w:pPr>
    <w:r>
      <w:rPr>
        <w:rFonts w:hint="eastAsia"/>
      </w:rPr>
      <w:drawing>
        <wp:anchor distT="0" distB="0" distL="114300" distR="114300" simplePos="0" relativeHeight="251659264" behindDoc="1" locked="0" layoutInCell="1" allowOverlap="1">
          <wp:simplePos x="0" y="0"/>
          <wp:positionH relativeFrom="column">
            <wp:posOffset>-161290</wp:posOffset>
          </wp:positionH>
          <wp:positionV relativeFrom="paragraph">
            <wp:posOffset>-111125</wp:posOffset>
          </wp:positionV>
          <wp:extent cx="1421130" cy="248920"/>
          <wp:effectExtent l="19050" t="0" r="7620" b="0"/>
          <wp:wrapSquare wrapText="bothSides"/>
          <wp:docPr id="3" name="图片 2" descr="飞测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飞测logo"/>
                  <pic:cNvPicPr>
                    <a:picLocks noChangeAspect="1" noChangeArrowheads="1"/>
                  </pic:cNvPicPr>
                </pic:nvPicPr>
                <pic:blipFill>
                  <a:blip r:embed="rId1"/>
                  <a:srcRect b="14069"/>
                  <a:stretch>
                    <a:fillRect/>
                  </a:stretch>
                </pic:blipFill>
                <pic:spPr>
                  <a:xfrm>
                    <a:off x="0" y="0"/>
                    <a:ext cx="1421130" cy="248920"/>
                  </a:xfrm>
                  <a:prstGeom prst="rect">
                    <a:avLst/>
                  </a:prstGeom>
                  <a:noFill/>
                  <a:ln w="9525">
                    <a:noFill/>
                    <a:miter lim="800000"/>
                    <a:headEnd/>
                    <a:tailEnd/>
                  </a:ln>
                </pic:spPr>
              </pic:pic>
            </a:graphicData>
          </a:graphic>
        </wp:anchor>
      </w:drawing>
    </w:r>
    <w:r>
      <w:rPr>
        <w:rFonts w:hint="eastAsia"/>
      </w:rPr>
      <w:t xml:space="preserve">                            </w:t>
    </w:r>
    <w:r>
      <w:rPr>
        <w:rFonts w:hint="eastAsia" w:ascii="微软雅黑" w:hAnsi="微软雅黑" w:eastAsia="微软雅黑"/>
        <w:sz w:val="15"/>
        <w:szCs w:val="15"/>
      </w:rPr>
      <w:t xml:space="preserve">         </w:t>
    </w:r>
    <w:r>
      <w:rPr>
        <w:rFonts w:ascii="微软雅黑" w:hAnsi="微软雅黑" w:eastAsia="微软雅黑"/>
        <w:sz w:val="15"/>
        <w:szCs w:val="15"/>
      </w:rPr>
      <w:t>www.femdetection.com</w:t>
    </w:r>
    <w:r>
      <w:rPr>
        <w:rFonts w:hint="eastAsia" w:ascii="微软雅黑" w:hAnsi="微软雅黑" w:eastAsia="微软雅黑"/>
        <w:sz w:val="15"/>
        <w:szCs w:val="15"/>
      </w:rPr>
      <w:t xml:space="preserve">                上海飞测生物科技有限公司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0D27"/>
    <w:multiLevelType w:val="multilevel"/>
    <w:tmpl w:val="0F530D2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6821E5D"/>
    <w:multiLevelType w:val="multilevel"/>
    <w:tmpl w:val="16821E5D"/>
    <w:lvl w:ilvl="0" w:tentative="0">
      <w:start w:val="1"/>
      <w:numFmt w:val="chineseCountingThousand"/>
      <w:lvlText w:val="%1、"/>
      <w:lvlJc w:val="left"/>
      <w:pPr>
        <w:ind w:left="420" w:hanging="420"/>
      </w:p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430498"/>
    <w:multiLevelType w:val="multilevel"/>
    <w:tmpl w:val="1B430498"/>
    <w:lvl w:ilvl="0" w:tentative="0">
      <w:start w:val="1"/>
      <w:numFmt w:val="decimal"/>
      <w:lvlText w:val="%1."/>
      <w:lvlJc w:val="left"/>
      <w:pPr>
        <w:ind w:left="425" w:hanging="425"/>
      </w:pPr>
      <w:rPr>
        <w:rFonts w:hint="eastAsia"/>
      </w:rPr>
    </w:lvl>
    <w:lvl w:ilvl="1" w:tentative="0">
      <w:start w:val="1"/>
      <w:numFmt w:val="decimal"/>
      <w:lvlText w:val="3.%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43346151"/>
    <w:multiLevelType w:val="multilevel"/>
    <w:tmpl w:val="433461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4B27021"/>
    <w:multiLevelType w:val="multilevel"/>
    <w:tmpl w:val="54B27021"/>
    <w:lvl w:ilvl="0" w:tentative="0">
      <w:start w:val="1"/>
      <w:numFmt w:val="decimal"/>
      <w:lvlText w:val="%1、"/>
      <w:lvlJc w:val="left"/>
      <w:pPr>
        <w:ind w:left="786" w:hanging="360"/>
      </w:pPr>
      <w:rPr>
        <w:rFonts w:hint="default"/>
        <w:b w:val="0"/>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72D231DB"/>
    <w:multiLevelType w:val="multilevel"/>
    <w:tmpl w:val="72D231DB"/>
    <w:lvl w:ilvl="0" w:tentative="0">
      <w:start w:val="1"/>
      <w:numFmt w:val="decimal"/>
      <w:lvlText w:val="%1、"/>
      <w:lvlJc w:val="left"/>
      <w:pPr>
        <w:ind w:left="786" w:hanging="360"/>
      </w:pPr>
      <w:rPr>
        <w:rFonts w:hint="default"/>
        <w:b w:val="0"/>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61D5"/>
    <w:rsid w:val="00064484"/>
    <w:rsid w:val="000733DB"/>
    <w:rsid w:val="000923B6"/>
    <w:rsid w:val="00096C26"/>
    <w:rsid w:val="000A678E"/>
    <w:rsid w:val="000C080B"/>
    <w:rsid w:val="00184D11"/>
    <w:rsid w:val="00192203"/>
    <w:rsid w:val="00196C5B"/>
    <w:rsid w:val="00250CC5"/>
    <w:rsid w:val="002A7575"/>
    <w:rsid w:val="002B7399"/>
    <w:rsid w:val="002D3478"/>
    <w:rsid w:val="002F033D"/>
    <w:rsid w:val="00307B28"/>
    <w:rsid w:val="00340899"/>
    <w:rsid w:val="003509F6"/>
    <w:rsid w:val="00360336"/>
    <w:rsid w:val="00397A81"/>
    <w:rsid w:val="003B5266"/>
    <w:rsid w:val="003E7ABD"/>
    <w:rsid w:val="00413E96"/>
    <w:rsid w:val="004E11A6"/>
    <w:rsid w:val="005404EB"/>
    <w:rsid w:val="00555F9C"/>
    <w:rsid w:val="005800CF"/>
    <w:rsid w:val="00584AF6"/>
    <w:rsid w:val="005B12AE"/>
    <w:rsid w:val="005D5D07"/>
    <w:rsid w:val="005E3830"/>
    <w:rsid w:val="00603F76"/>
    <w:rsid w:val="00612D7E"/>
    <w:rsid w:val="00671E41"/>
    <w:rsid w:val="006B3594"/>
    <w:rsid w:val="006D50D9"/>
    <w:rsid w:val="00753CC6"/>
    <w:rsid w:val="00775B49"/>
    <w:rsid w:val="007C5921"/>
    <w:rsid w:val="0084086A"/>
    <w:rsid w:val="0084411F"/>
    <w:rsid w:val="00866B14"/>
    <w:rsid w:val="008722CF"/>
    <w:rsid w:val="00873B1C"/>
    <w:rsid w:val="0089364C"/>
    <w:rsid w:val="008D5B86"/>
    <w:rsid w:val="00962A15"/>
    <w:rsid w:val="00996C45"/>
    <w:rsid w:val="00AA6368"/>
    <w:rsid w:val="00AE2AEB"/>
    <w:rsid w:val="00B151D3"/>
    <w:rsid w:val="00B32341"/>
    <w:rsid w:val="00B40805"/>
    <w:rsid w:val="00B64745"/>
    <w:rsid w:val="00B8596C"/>
    <w:rsid w:val="00B90B8F"/>
    <w:rsid w:val="00B93A37"/>
    <w:rsid w:val="00BA2068"/>
    <w:rsid w:val="00BC6A50"/>
    <w:rsid w:val="00BE118A"/>
    <w:rsid w:val="00C361D5"/>
    <w:rsid w:val="00C426BC"/>
    <w:rsid w:val="00C53A0C"/>
    <w:rsid w:val="00C63037"/>
    <w:rsid w:val="00C93ACE"/>
    <w:rsid w:val="00CD7981"/>
    <w:rsid w:val="00D14B48"/>
    <w:rsid w:val="00D310BF"/>
    <w:rsid w:val="00D51C2D"/>
    <w:rsid w:val="00D643C6"/>
    <w:rsid w:val="00D92AAA"/>
    <w:rsid w:val="00DA0179"/>
    <w:rsid w:val="00DE5262"/>
    <w:rsid w:val="00DE7E3D"/>
    <w:rsid w:val="00E114A7"/>
    <w:rsid w:val="00E12DF1"/>
    <w:rsid w:val="00E17C24"/>
    <w:rsid w:val="00E4311C"/>
    <w:rsid w:val="00E662F6"/>
    <w:rsid w:val="00EF6791"/>
    <w:rsid w:val="00F22C40"/>
    <w:rsid w:val="00F43F4C"/>
    <w:rsid w:val="00F76C2A"/>
    <w:rsid w:val="00F90076"/>
    <w:rsid w:val="00FF32C0"/>
    <w:rsid w:val="054C43A7"/>
    <w:rsid w:val="0FD04953"/>
    <w:rsid w:val="202438AF"/>
    <w:rsid w:val="2DD67391"/>
    <w:rsid w:val="305B7395"/>
    <w:rsid w:val="34C97D47"/>
    <w:rsid w:val="3AFF5FF2"/>
    <w:rsid w:val="484626BB"/>
    <w:rsid w:val="4BCD2231"/>
    <w:rsid w:val="4D2C63EB"/>
    <w:rsid w:val="4DDD01D2"/>
    <w:rsid w:val="519167DD"/>
    <w:rsid w:val="51943284"/>
    <w:rsid w:val="550F1D41"/>
    <w:rsid w:val="641E2D41"/>
    <w:rsid w:val="64464E2C"/>
    <w:rsid w:val="69D95BBC"/>
    <w:rsid w:val="7135355B"/>
    <w:rsid w:val="726D3479"/>
    <w:rsid w:val="73843A79"/>
    <w:rsid w:val="75E2027F"/>
    <w:rsid w:val="7A8F2972"/>
    <w:rsid w:val="7C141DE9"/>
    <w:rsid w:val="7DF1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sz w:val="18"/>
      <w:szCs w:val="18"/>
    </w:rPr>
  </w:style>
  <w:style w:type="paragraph" w:customStyle="1" w:styleId="11">
    <w:name w:val="List Paragraph"/>
    <w:basedOn w:val="1"/>
    <w:qFormat/>
    <w:uiPriority w:val="34"/>
    <w:pPr>
      <w:ind w:firstLine="420" w:firstLineChars="200"/>
    </w:pPr>
  </w:style>
  <w:style w:type="table" w:customStyle="1" w:styleId="12">
    <w:name w:val="浅色底纹1"/>
    <w:basedOn w:val="6"/>
    <w:qFormat/>
    <w:uiPriority w:val="60"/>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329</Words>
  <Characters>1881</Characters>
  <Lines>15</Lines>
  <Paragraphs>4</Paragraphs>
  <ScaleCrop>false</ScaleCrop>
  <LinksUpToDate>false</LinksUpToDate>
  <CharactersWithSpaces>2206</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2017-09-19T03:35:00Z</dcterms:created>
  <dc:creator>Think</dc:creator>
  <cp:lastModifiedBy>microdetection</cp:lastModifiedBy>
  <cp:lastPrinted>2017-09-14T05:31:00Z</cp:lastPrinted>
  <dcterms:modified xsi:type="dcterms:W3CDTF">2017-09-30T02:29:53Z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